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4D35F" w14:textId="77777777" w:rsidR="001C7FBB" w:rsidRDefault="001C7FBB" w:rsidP="001C7FBB"/>
    <w:p w14:paraId="02AFE3B3" w14:textId="78660C23" w:rsidR="784AE5F0" w:rsidRDefault="784AE5F0" w:rsidP="784AE5F0">
      <w:bookmarkStart w:id="0" w:name="_Hlk7011760"/>
    </w:p>
    <w:p w14:paraId="0DAD9890" w14:textId="77777777" w:rsidR="00E53444" w:rsidRDefault="00E53444" w:rsidP="001C7FBB"/>
    <w:p w14:paraId="57C296DD" w14:textId="1D8ECC3C" w:rsidR="001C7FBB" w:rsidRDefault="001C7FBB" w:rsidP="001C7FBB"/>
    <w:p w14:paraId="5F229239" w14:textId="3BE4B2D3" w:rsidR="001C7FBB" w:rsidRDefault="001C7FBB" w:rsidP="001C7FBB"/>
    <w:p w14:paraId="4C506ACD" w14:textId="0A63BA37" w:rsidR="001C7FBB" w:rsidRPr="00E53444" w:rsidRDefault="00151651" w:rsidP="001C7FBB">
      <w:pPr>
        <w:rPr>
          <w:b/>
          <w:color w:val="FF0000"/>
          <w:sz w:val="36"/>
          <w:szCs w:val="36"/>
        </w:rPr>
      </w:pPr>
      <w:r>
        <w:rPr>
          <w:noProof/>
        </w:rPr>
        <w:drawing>
          <wp:anchor distT="0" distB="0" distL="114300" distR="114300" simplePos="0" relativeHeight="251658240" behindDoc="1" locked="0" layoutInCell="1" allowOverlap="1" wp14:anchorId="4E592E1D" wp14:editId="07476955">
            <wp:simplePos x="0" y="0"/>
            <wp:positionH relativeFrom="page">
              <wp:posOffset>1742440</wp:posOffset>
            </wp:positionH>
            <wp:positionV relativeFrom="paragraph">
              <wp:posOffset>4445</wp:posOffset>
            </wp:positionV>
            <wp:extent cx="5501640" cy="5501640"/>
            <wp:effectExtent l="0" t="0" r="3810" b="3810"/>
            <wp:wrapNone/>
            <wp:docPr id="1894910526" name="Picture 1894910526" descr="A blue logo with a fl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10526" name="Picture 1" descr="A blue logo with a flame&#10;&#10;Description automatically generated"/>
                    <pic:cNvPicPr/>
                  </pic:nvPicPr>
                  <pic:blipFill>
                    <a:blip r:embed="rId11">
                      <a:alphaModFix amt="30000"/>
                      <a:extLst>
                        <a:ext uri="{28A0092B-C50C-407E-A947-70E740481C1C}">
                          <a14:useLocalDpi xmlns:a14="http://schemas.microsoft.com/office/drawing/2010/main" val="0"/>
                        </a:ext>
                      </a:extLst>
                    </a:blip>
                    <a:stretch>
                      <a:fillRect/>
                    </a:stretch>
                  </pic:blipFill>
                  <pic:spPr>
                    <a:xfrm>
                      <a:off x="0" y="0"/>
                      <a:ext cx="5501640" cy="5501640"/>
                    </a:xfrm>
                    <a:prstGeom prst="rect">
                      <a:avLst/>
                    </a:prstGeom>
                  </pic:spPr>
                </pic:pic>
              </a:graphicData>
            </a:graphic>
            <wp14:sizeRelH relativeFrom="margin">
              <wp14:pctWidth>0</wp14:pctWidth>
            </wp14:sizeRelH>
            <wp14:sizeRelV relativeFrom="margin">
              <wp14:pctHeight>0</wp14:pctHeight>
            </wp14:sizeRelV>
          </wp:anchor>
        </w:drawing>
      </w:r>
    </w:p>
    <w:p w14:paraId="441E08FF" w14:textId="08B50F78" w:rsidR="001C7FBB" w:rsidRDefault="001C7FBB" w:rsidP="001C7FBB"/>
    <w:p w14:paraId="4F4C0643" w14:textId="1265FABD" w:rsidR="001C7FBB" w:rsidRDefault="001C7FBB" w:rsidP="001C7FBB"/>
    <w:p w14:paraId="32991A33" w14:textId="77777777" w:rsidR="001C7FBB" w:rsidRDefault="001C7FBB" w:rsidP="001C7FBB"/>
    <w:p w14:paraId="368ED28C" w14:textId="78377E5C" w:rsidR="001C7FBB" w:rsidRDefault="001C7FBB" w:rsidP="001C7FBB"/>
    <w:p w14:paraId="20300B4B" w14:textId="5EAE56A9" w:rsidR="001C7FBB" w:rsidRDefault="001C7FBB" w:rsidP="001C7FBB"/>
    <w:p w14:paraId="6E2E0C31" w14:textId="39B9078F" w:rsidR="001C7FBB" w:rsidRDefault="001C7FBB" w:rsidP="001C7FBB"/>
    <w:p w14:paraId="7796ACBB" w14:textId="77777777" w:rsidR="001C7FBB" w:rsidRDefault="001C7FBB" w:rsidP="001C7FBB"/>
    <w:p w14:paraId="6A6D88BA" w14:textId="374B16A7" w:rsidR="001C7FBB" w:rsidRDefault="001C7FBB" w:rsidP="001C7FBB"/>
    <w:p w14:paraId="07233F16" w14:textId="0A73B11E" w:rsidR="001C7FBB" w:rsidRDefault="001C7FBB" w:rsidP="001C7FBB"/>
    <w:p w14:paraId="6E37D79A" w14:textId="56BA3661" w:rsidR="001C7FBB" w:rsidRPr="00C530F1" w:rsidRDefault="001C7FBB" w:rsidP="001C7FBB">
      <w:pPr>
        <w:rPr>
          <w:rFonts w:ascii="Calibri" w:hAnsi="Calibri" w:cs="Calibri"/>
        </w:rPr>
      </w:pPr>
    </w:p>
    <w:p w14:paraId="6F571A04" w14:textId="77777777" w:rsidR="001C7FBB" w:rsidRPr="00C530F1" w:rsidRDefault="00117D7D" w:rsidP="00117D7D">
      <w:pPr>
        <w:tabs>
          <w:tab w:val="left" w:pos="4010"/>
        </w:tabs>
        <w:rPr>
          <w:rFonts w:ascii="Calibri" w:hAnsi="Calibri" w:cs="Calibri"/>
        </w:rPr>
      </w:pPr>
      <w:r w:rsidRPr="00C530F1">
        <w:rPr>
          <w:rFonts w:ascii="Calibri" w:hAnsi="Calibri" w:cs="Calibri"/>
        </w:rPr>
        <w:tab/>
      </w:r>
    </w:p>
    <w:p w14:paraId="61B02FF1" w14:textId="77777777" w:rsidR="00151651" w:rsidRDefault="00151651" w:rsidP="00AD2291">
      <w:pPr>
        <w:pStyle w:val="Primarycoverheading"/>
        <w:rPr>
          <w:rFonts w:ascii="Calibri" w:hAnsi="Calibri" w:cs="Calibri"/>
          <w:color w:val="198897"/>
        </w:rPr>
      </w:pPr>
    </w:p>
    <w:p w14:paraId="1CB63508" w14:textId="77777777" w:rsidR="00151651" w:rsidRDefault="00151651" w:rsidP="00AD2291">
      <w:pPr>
        <w:pStyle w:val="Primarycoverheading"/>
        <w:rPr>
          <w:rFonts w:ascii="Calibri" w:hAnsi="Calibri" w:cs="Calibri"/>
          <w:color w:val="198897"/>
        </w:rPr>
      </w:pPr>
    </w:p>
    <w:p w14:paraId="1041C800" w14:textId="5FD7F934" w:rsidR="000011CF" w:rsidRPr="00C530F1" w:rsidRDefault="002711D2" w:rsidP="00AD2291">
      <w:pPr>
        <w:pStyle w:val="Primarycoverheading"/>
        <w:rPr>
          <w:rFonts w:ascii="Calibri" w:hAnsi="Calibri" w:cs="Calibri"/>
          <w:color w:val="198897"/>
        </w:rPr>
      </w:pPr>
      <w:r>
        <w:rPr>
          <w:rFonts w:ascii="Calibri" w:hAnsi="Calibri" w:cs="Calibri"/>
          <w:color w:val="198897"/>
        </w:rPr>
        <w:t>UK SPF</w:t>
      </w:r>
      <w:r w:rsidR="008A2967" w:rsidRPr="00C530F1">
        <w:rPr>
          <w:rFonts w:ascii="Calibri" w:hAnsi="Calibri" w:cs="Calibri"/>
          <w:color w:val="198897"/>
        </w:rPr>
        <w:t xml:space="preserve"> </w:t>
      </w:r>
      <w:r w:rsidR="004A459E" w:rsidRPr="00C530F1">
        <w:rPr>
          <w:rFonts w:ascii="Calibri" w:hAnsi="Calibri" w:cs="Calibri"/>
          <w:color w:val="198897"/>
        </w:rPr>
        <w:t>Business</w:t>
      </w:r>
      <w:r w:rsidR="008A2967" w:rsidRPr="00C530F1">
        <w:rPr>
          <w:rFonts w:ascii="Calibri" w:hAnsi="Calibri" w:cs="Calibri"/>
          <w:color w:val="198897"/>
        </w:rPr>
        <w:t xml:space="preserve"> Grant </w:t>
      </w:r>
      <w:r w:rsidR="00C638EF" w:rsidRPr="00C530F1">
        <w:rPr>
          <w:rFonts w:ascii="Calibri" w:hAnsi="Calibri" w:cs="Calibri"/>
          <w:color w:val="198897"/>
        </w:rPr>
        <w:t>F</w:t>
      </w:r>
      <w:r w:rsidR="008A2967" w:rsidRPr="00C530F1">
        <w:rPr>
          <w:rFonts w:ascii="Calibri" w:hAnsi="Calibri" w:cs="Calibri"/>
          <w:color w:val="198897"/>
        </w:rPr>
        <w:t>und</w:t>
      </w:r>
      <w:r w:rsidR="00C638EF" w:rsidRPr="00C530F1">
        <w:rPr>
          <w:rFonts w:ascii="Calibri" w:hAnsi="Calibri" w:cs="Calibri"/>
          <w:color w:val="198897"/>
        </w:rPr>
        <w:t xml:space="preserve"> </w:t>
      </w:r>
    </w:p>
    <w:p w14:paraId="277B23A4" w14:textId="3F63D0AC" w:rsidR="001C7FBB" w:rsidRPr="00DA2ED3" w:rsidRDefault="000011CF" w:rsidP="00DA2ED3">
      <w:pPr>
        <w:pStyle w:val="Supportingpageheading"/>
        <w:rPr>
          <w:rFonts w:ascii="Calibri" w:hAnsi="Calibri" w:cs="Calibri"/>
          <w:b/>
          <w:bCs/>
          <w:sz w:val="48"/>
          <w:szCs w:val="48"/>
        </w:rPr>
        <w:sectPr w:rsidR="001C7FBB" w:rsidRPr="00DA2ED3" w:rsidSect="00CE39B8">
          <w:headerReference w:type="default" r:id="rId12"/>
          <w:footerReference w:type="default" r:id="rId13"/>
          <w:footerReference w:type="first" r:id="rId14"/>
          <w:pgSz w:w="11906" w:h="16838" w:code="9"/>
          <w:pgMar w:top="1701" w:right="1134" w:bottom="1134" w:left="1134" w:header="709" w:footer="113" w:gutter="0"/>
          <w:pgNumType w:start="1"/>
          <w:cols w:space="708"/>
          <w:titlePg/>
          <w:docGrid w:linePitch="360"/>
        </w:sectPr>
      </w:pPr>
      <w:r w:rsidRPr="00C530F1">
        <w:rPr>
          <w:rFonts w:ascii="Calibri" w:hAnsi="Calibri" w:cs="Calibri"/>
          <w:b/>
          <w:bCs/>
          <w:sz w:val="48"/>
          <w:szCs w:val="48"/>
        </w:rPr>
        <w:t>GUIDELINES</w:t>
      </w:r>
    </w:p>
    <w:p w14:paraId="1AE36EBB" w14:textId="70213F67" w:rsidR="0084282C" w:rsidRDefault="008C2AC5" w:rsidP="0084282C">
      <w:pPr>
        <w:pStyle w:val="TOC1"/>
        <w:framePr w:wrap="around"/>
        <w:rPr>
          <w:rFonts w:asciiTheme="minorHAnsi" w:hAnsiTheme="minorHAnsi"/>
          <w:b w:val="0"/>
          <w:color w:val="auto"/>
          <w:kern w:val="2"/>
          <w:lang w:val="en-GB" w:eastAsia="en-GB"/>
          <w14:ligatures w14:val="standardContextual"/>
        </w:rPr>
      </w:pPr>
      <w:r w:rsidRPr="00126043">
        <w:lastRenderedPageBreak/>
        <w:fldChar w:fldCharType="begin"/>
      </w:r>
      <w:r w:rsidRPr="00126043">
        <w:instrText xml:space="preserve"> TOC \o "1-3" \h \z \u </w:instrText>
      </w:r>
      <w:r w:rsidRPr="00126043">
        <w:fldChar w:fldCharType="separate"/>
      </w:r>
      <w:hyperlink w:anchor="_Toc157694426" w:history="1">
        <w:r w:rsidR="0084282C" w:rsidRPr="00A2496D">
          <w:rPr>
            <w:rStyle w:val="Hyperlink"/>
          </w:rPr>
          <w:t>1.0</w:t>
        </w:r>
        <w:r w:rsidR="0084282C">
          <w:rPr>
            <w:rFonts w:asciiTheme="minorHAnsi" w:hAnsiTheme="minorHAnsi"/>
            <w:b w:val="0"/>
            <w:color w:val="auto"/>
            <w:kern w:val="2"/>
            <w:lang w:val="en-GB" w:eastAsia="en-GB"/>
            <w14:ligatures w14:val="standardContextual"/>
          </w:rPr>
          <w:tab/>
        </w:r>
        <w:r w:rsidR="0084282C" w:rsidRPr="00A2496D">
          <w:rPr>
            <w:rStyle w:val="Hyperlink"/>
          </w:rPr>
          <w:t>BACKGROUND</w:t>
        </w:r>
        <w:r w:rsidR="0084282C">
          <w:rPr>
            <w:webHidden/>
          </w:rPr>
          <w:tab/>
        </w:r>
        <w:r w:rsidR="0084282C">
          <w:rPr>
            <w:webHidden/>
          </w:rPr>
          <w:fldChar w:fldCharType="begin"/>
        </w:r>
        <w:r w:rsidR="0084282C">
          <w:rPr>
            <w:webHidden/>
          </w:rPr>
          <w:instrText xml:space="preserve"> PAGEREF _Toc157694426 \h </w:instrText>
        </w:r>
        <w:r w:rsidR="0084282C">
          <w:rPr>
            <w:webHidden/>
          </w:rPr>
        </w:r>
        <w:r w:rsidR="0084282C">
          <w:rPr>
            <w:webHidden/>
          </w:rPr>
          <w:fldChar w:fldCharType="separate"/>
        </w:r>
        <w:r w:rsidR="004030F0">
          <w:rPr>
            <w:webHidden/>
          </w:rPr>
          <w:t>3</w:t>
        </w:r>
        <w:r w:rsidR="0084282C">
          <w:rPr>
            <w:webHidden/>
          </w:rPr>
          <w:fldChar w:fldCharType="end"/>
        </w:r>
      </w:hyperlink>
    </w:p>
    <w:p w14:paraId="031FFCB5" w14:textId="319E46F5" w:rsidR="0084282C" w:rsidRDefault="0084282C" w:rsidP="000510C9">
      <w:pPr>
        <w:pStyle w:val="TOC1"/>
        <w:framePr w:wrap="around"/>
        <w:rPr>
          <w:rFonts w:asciiTheme="minorHAnsi" w:hAnsiTheme="minorHAnsi"/>
          <w:b w:val="0"/>
          <w:color w:val="auto"/>
          <w:kern w:val="2"/>
          <w:lang w:val="en-GB" w:eastAsia="en-GB"/>
          <w14:ligatures w14:val="standardContextual"/>
        </w:rPr>
      </w:pPr>
      <w:hyperlink w:anchor="_Toc157694427" w:history="1">
        <w:r w:rsidRPr="00A2496D">
          <w:rPr>
            <w:rStyle w:val="Hyperlink"/>
          </w:rPr>
          <w:t>2.0</w:t>
        </w:r>
        <w:r>
          <w:rPr>
            <w:rFonts w:asciiTheme="minorHAnsi" w:hAnsiTheme="minorHAnsi"/>
            <w:b w:val="0"/>
            <w:color w:val="auto"/>
            <w:kern w:val="2"/>
            <w:lang w:val="en-GB" w:eastAsia="en-GB"/>
            <w14:ligatures w14:val="standardContextual"/>
          </w:rPr>
          <w:tab/>
        </w:r>
        <w:r w:rsidRPr="00A2496D">
          <w:rPr>
            <w:rStyle w:val="Hyperlink"/>
          </w:rPr>
          <w:t>ELIGIBILITY</w:t>
        </w:r>
        <w:r>
          <w:rPr>
            <w:webHidden/>
          </w:rPr>
          <w:tab/>
        </w:r>
        <w:r>
          <w:rPr>
            <w:webHidden/>
          </w:rPr>
          <w:fldChar w:fldCharType="begin"/>
        </w:r>
        <w:r>
          <w:rPr>
            <w:webHidden/>
          </w:rPr>
          <w:instrText xml:space="preserve"> PAGEREF _Toc157694427 \h </w:instrText>
        </w:r>
        <w:r>
          <w:rPr>
            <w:webHidden/>
          </w:rPr>
        </w:r>
        <w:r>
          <w:rPr>
            <w:webHidden/>
          </w:rPr>
          <w:fldChar w:fldCharType="separate"/>
        </w:r>
        <w:r w:rsidR="004030F0">
          <w:rPr>
            <w:webHidden/>
          </w:rPr>
          <w:t>3</w:t>
        </w:r>
        <w:r>
          <w:rPr>
            <w:webHidden/>
          </w:rPr>
          <w:fldChar w:fldCharType="end"/>
        </w:r>
      </w:hyperlink>
    </w:p>
    <w:p w14:paraId="7D2E4E38" w14:textId="5C813C37" w:rsidR="0084282C" w:rsidRDefault="0084282C" w:rsidP="0084282C">
      <w:pPr>
        <w:pStyle w:val="TOC1"/>
        <w:framePr w:wrap="around"/>
        <w:rPr>
          <w:rFonts w:asciiTheme="minorHAnsi" w:hAnsiTheme="minorHAnsi"/>
          <w:b w:val="0"/>
          <w:color w:val="auto"/>
          <w:kern w:val="2"/>
          <w:lang w:val="en-GB" w:eastAsia="en-GB"/>
          <w14:ligatures w14:val="standardContextual"/>
        </w:rPr>
      </w:pPr>
      <w:hyperlink w:anchor="_Toc157694441" w:history="1">
        <w:r w:rsidRPr="00A2496D">
          <w:rPr>
            <w:rStyle w:val="Hyperlink"/>
          </w:rPr>
          <w:t>3.0</w:t>
        </w:r>
        <w:r>
          <w:rPr>
            <w:rFonts w:asciiTheme="minorHAnsi" w:hAnsiTheme="minorHAnsi"/>
            <w:b w:val="0"/>
            <w:color w:val="auto"/>
            <w:kern w:val="2"/>
            <w:lang w:val="en-GB" w:eastAsia="en-GB"/>
            <w14:ligatures w14:val="standardContextual"/>
          </w:rPr>
          <w:tab/>
        </w:r>
        <w:r w:rsidRPr="00A2496D">
          <w:rPr>
            <w:rStyle w:val="Hyperlink"/>
          </w:rPr>
          <w:t>PROJECT TIMESCALES</w:t>
        </w:r>
        <w:r>
          <w:rPr>
            <w:webHidden/>
          </w:rPr>
          <w:tab/>
        </w:r>
        <w:r>
          <w:rPr>
            <w:webHidden/>
          </w:rPr>
          <w:fldChar w:fldCharType="begin"/>
        </w:r>
        <w:r>
          <w:rPr>
            <w:webHidden/>
          </w:rPr>
          <w:instrText xml:space="preserve"> PAGEREF _Toc157694441 \h </w:instrText>
        </w:r>
        <w:r>
          <w:rPr>
            <w:webHidden/>
          </w:rPr>
        </w:r>
        <w:r>
          <w:rPr>
            <w:webHidden/>
          </w:rPr>
          <w:fldChar w:fldCharType="separate"/>
        </w:r>
        <w:r w:rsidR="004030F0">
          <w:rPr>
            <w:webHidden/>
          </w:rPr>
          <w:t>6</w:t>
        </w:r>
        <w:r>
          <w:rPr>
            <w:webHidden/>
          </w:rPr>
          <w:fldChar w:fldCharType="end"/>
        </w:r>
      </w:hyperlink>
    </w:p>
    <w:p w14:paraId="747BA976" w14:textId="0B138A0B" w:rsidR="0084282C" w:rsidRDefault="0084282C" w:rsidP="0084282C">
      <w:pPr>
        <w:pStyle w:val="TOC1"/>
        <w:framePr w:wrap="around"/>
        <w:rPr>
          <w:rFonts w:asciiTheme="minorHAnsi" w:hAnsiTheme="minorHAnsi"/>
          <w:b w:val="0"/>
          <w:color w:val="auto"/>
          <w:kern w:val="2"/>
          <w:lang w:val="en-GB" w:eastAsia="en-GB"/>
          <w14:ligatures w14:val="standardContextual"/>
        </w:rPr>
      </w:pPr>
      <w:hyperlink w:anchor="_Toc157694442" w:history="1">
        <w:r w:rsidRPr="00A2496D">
          <w:rPr>
            <w:rStyle w:val="Hyperlink"/>
          </w:rPr>
          <w:t>4.0</w:t>
        </w:r>
        <w:r>
          <w:rPr>
            <w:rFonts w:asciiTheme="minorHAnsi" w:hAnsiTheme="minorHAnsi"/>
            <w:b w:val="0"/>
            <w:color w:val="auto"/>
            <w:kern w:val="2"/>
            <w:lang w:val="en-GB" w:eastAsia="en-GB"/>
            <w14:ligatures w14:val="standardContextual"/>
          </w:rPr>
          <w:tab/>
        </w:r>
        <w:r w:rsidRPr="00A2496D">
          <w:rPr>
            <w:rStyle w:val="Hyperlink"/>
          </w:rPr>
          <w:t>LEVEL OF GRANT SUPPORT</w:t>
        </w:r>
        <w:r>
          <w:rPr>
            <w:webHidden/>
          </w:rPr>
          <w:tab/>
        </w:r>
        <w:r>
          <w:rPr>
            <w:webHidden/>
          </w:rPr>
          <w:fldChar w:fldCharType="begin"/>
        </w:r>
        <w:r>
          <w:rPr>
            <w:webHidden/>
          </w:rPr>
          <w:instrText xml:space="preserve"> PAGEREF _Toc157694442 \h </w:instrText>
        </w:r>
        <w:r>
          <w:rPr>
            <w:webHidden/>
          </w:rPr>
        </w:r>
        <w:r>
          <w:rPr>
            <w:webHidden/>
          </w:rPr>
          <w:fldChar w:fldCharType="separate"/>
        </w:r>
        <w:r w:rsidR="004030F0">
          <w:rPr>
            <w:webHidden/>
          </w:rPr>
          <w:t>6</w:t>
        </w:r>
        <w:r>
          <w:rPr>
            <w:webHidden/>
          </w:rPr>
          <w:fldChar w:fldCharType="end"/>
        </w:r>
      </w:hyperlink>
    </w:p>
    <w:p w14:paraId="50FA5EBF" w14:textId="75832266" w:rsidR="0084282C" w:rsidRDefault="0084282C" w:rsidP="000510C9">
      <w:pPr>
        <w:pStyle w:val="TOC1"/>
        <w:framePr w:wrap="around"/>
        <w:rPr>
          <w:rFonts w:asciiTheme="minorHAnsi" w:hAnsiTheme="minorHAnsi"/>
          <w:b w:val="0"/>
          <w:color w:val="auto"/>
          <w:kern w:val="2"/>
          <w:lang w:val="en-GB" w:eastAsia="en-GB"/>
          <w14:ligatures w14:val="standardContextual"/>
        </w:rPr>
      </w:pPr>
      <w:hyperlink w:anchor="_Toc157694443" w:history="1">
        <w:r w:rsidRPr="00A2496D">
          <w:rPr>
            <w:rStyle w:val="Hyperlink"/>
          </w:rPr>
          <w:t>5.0</w:t>
        </w:r>
        <w:r>
          <w:rPr>
            <w:rFonts w:asciiTheme="minorHAnsi" w:hAnsiTheme="minorHAnsi"/>
            <w:b w:val="0"/>
            <w:color w:val="auto"/>
            <w:kern w:val="2"/>
            <w:lang w:val="en-GB" w:eastAsia="en-GB"/>
            <w14:ligatures w14:val="standardContextual"/>
          </w:rPr>
          <w:tab/>
        </w:r>
        <w:r w:rsidRPr="00A2496D">
          <w:rPr>
            <w:rStyle w:val="Hyperlink"/>
          </w:rPr>
          <w:t>OUTPUTS AND OUTCOMES</w:t>
        </w:r>
        <w:r>
          <w:rPr>
            <w:webHidden/>
          </w:rPr>
          <w:tab/>
        </w:r>
        <w:r>
          <w:rPr>
            <w:webHidden/>
          </w:rPr>
          <w:fldChar w:fldCharType="begin"/>
        </w:r>
        <w:r>
          <w:rPr>
            <w:webHidden/>
          </w:rPr>
          <w:instrText xml:space="preserve"> PAGEREF _Toc157694443 \h </w:instrText>
        </w:r>
        <w:r>
          <w:rPr>
            <w:webHidden/>
          </w:rPr>
        </w:r>
        <w:r>
          <w:rPr>
            <w:webHidden/>
          </w:rPr>
          <w:fldChar w:fldCharType="separate"/>
        </w:r>
        <w:r w:rsidR="004030F0">
          <w:rPr>
            <w:webHidden/>
          </w:rPr>
          <w:t>7</w:t>
        </w:r>
        <w:r>
          <w:rPr>
            <w:webHidden/>
          </w:rPr>
          <w:fldChar w:fldCharType="end"/>
        </w:r>
      </w:hyperlink>
    </w:p>
    <w:p w14:paraId="61EEE5C4" w14:textId="21EE2868" w:rsidR="0084282C" w:rsidRDefault="0084282C" w:rsidP="000510C9">
      <w:pPr>
        <w:pStyle w:val="TOC1"/>
        <w:framePr w:wrap="around"/>
        <w:rPr>
          <w:rFonts w:asciiTheme="minorHAnsi" w:hAnsiTheme="minorHAnsi"/>
          <w:b w:val="0"/>
          <w:color w:val="auto"/>
          <w:kern w:val="2"/>
          <w:lang w:val="en-GB" w:eastAsia="en-GB"/>
          <w14:ligatures w14:val="standardContextual"/>
        </w:rPr>
      </w:pPr>
      <w:hyperlink w:anchor="_Toc157694450" w:history="1">
        <w:r w:rsidRPr="00A2496D">
          <w:rPr>
            <w:rStyle w:val="Hyperlink"/>
          </w:rPr>
          <w:t>6.0</w:t>
        </w:r>
        <w:r>
          <w:rPr>
            <w:rFonts w:asciiTheme="minorHAnsi" w:hAnsiTheme="minorHAnsi"/>
            <w:b w:val="0"/>
            <w:color w:val="auto"/>
            <w:kern w:val="2"/>
            <w:lang w:val="en-GB" w:eastAsia="en-GB"/>
            <w14:ligatures w14:val="standardContextual"/>
          </w:rPr>
          <w:tab/>
        </w:r>
        <w:r w:rsidRPr="00A2496D">
          <w:rPr>
            <w:rStyle w:val="Hyperlink"/>
          </w:rPr>
          <w:t>APPLICATIONS AND APPRAISAL</w:t>
        </w:r>
        <w:r>
          <w:rPr>
            <w:webHidden/>
          </w:rPr>
          <w:tab/>
        </w:r>
        <w:r>
          <w:rPr>
            <w:webHidden/>
          </w:rPr>
          <w:fldChar w:fldCharType="begin"/>
        </w:r>
        <w:r>
          <w:rPr>
            <w:webHidden/>
          </w:rPr>
          <w:instrText xml:space="preserve"> PAGEREF _Toc157694450 \h </w:instrText>
        </w:r>
        <w:r>
          <w:rPr>
            <w:webHidden/>
          </w:rPr>
        </w:r>
        <w:r>
          <w:rPr>
            <w:webHidden/>
          </w:rPr>
          <w:fldChar w:fldCharType="separate"/>
        </w:r>
        <w:r w:rsidR="004030F0">
          <w:rPr>
            <w:webHidden/>
          </w:rPr>
          <w:t>10</w:t>
        </w:r>
        <w:r>
          <w:rPr>
            <w:webHidden/>
          </w:rPr>
          <w:fldChar w:fldCharType="end"/>
        </w:r>
      </w:hyperlink>
    </w:p>
    <w:p w14:paraId="11B234A3" w14:textId="0F4EBA6E" w:rsidR="0084282C" w:rsidRDefault="0084282C" w:rsidP="000510C9">
      <w:pPr>
        <w:pStyle w:val="TOC1"/>
        <w:framePr w:wrap="around"/>
        <w:rPr>
          <w:rFonts w:asciiTheme="minorHAnsi" w:hAnsiTheme="minorHAnsi"/>
          <w:b w:val="0"/>
          <w:color w:val="auto"/>
          <w:kern w:val="2"/>
          <w:lang w:val="en-GB" w:eastAsia="en-GB"/>
          <w14:ligatures w14:val="standardContextual"/>
        </w:rPr>
      </w:pPr>
      <w:hyperlink w:anchor="_Toc157694460" w:history="1">
        <w:r w:rsidRPr="00A2496D">
          <w:rPr>
            <w:rStyle w:val="Hyperlink"/>
          </w:rPr>
          <w:t>7.0</w:t>
        </w:r>
        <w:r>
          <w:rPr>
            <w:rFonts w:asciiTheme="minorHAnsi" w:hAnsiTheme="minorHAnsi"/>
            <w:b w:val="0"/>
            <w:color w:val="auto"/>
            <w:kern w:val="2"/>
            <w:lang w:val="en-GB" w:eastAsia="en-GB"/>
            <w14:ligatures w14:val="standardContextual"/>
          </w:rPr>
          <w:tab/>
        </w:r>
        <w:r w:rsidRPr="00A2496D">
          <w:rPr>
            <w:rStyle w:val="Hyperlink"/>
          </w:rPr>
          <w:t>MONITORING</w:t>
        </w:r>
        <w:r>
          <w:rPr>
            <w:webHidden/>
          </w:rPr>
          <w:tab/>
        </w:r>
        <w:r>
          <w:rPr>
            <w:webHidden/>
          </w:rPr>
          <w:fldChar w:fldCharType="begin"/>
        </w:r>
        <w:r>
          <w:rPr>
            <w:webHidden/>
          </w:rPr>
          <w:instrText xml:space="preserve"> PAGEREF _Toc157694460 \h </w:instrText>
        </w:r>
        <w:r>
          <w:rPr>
            <w:webHidden/>
          </w:rPr>
        </w:r>
        <w:r>
          <w:rPr>
            <w:webHidden/>
          </w:rPr>
          <w:fldChar w:fldCharType="separate"/>
        </w:r>
        <w:r w:rsidR="004030F0">
          <w:rPr>
            <w:webHidden/>
          </w:rPr>
          <w:t>12</w:t>
        </w:r>
        <w:r>
          <w:rPr>
            <w:webHidden/>
          </w:rPr>
          <w:fldChar w:fldCharType="end"/>
        </w:r>
      </w:hyperlink>
    </w:p>
    <w:p w14:paraId="7C9A0F8D" w14:textId="6ECEDA4E" w:rsidR="0084282C" w:rsidRDefault="0084282C" w:rsidP="0084282C">
      <w:pPr>
        <w:pStyle w:val="TOC1"/>
        <w:framePr w:wrap="around"/>
        <w:rPr>
          <w:rFonts w:asciiTheme="minorHAnsi" w:hAnsiTheme="minorHAnsi"/>
          <w:b w:val="0"/>
          <w:color w:val="auto"/>
          <w:kern w:val="2"/>
          <w:lang w:val="en-GB" w:eastAsia="en-GB"/>
          <w14:ligatures w14:val="standardContextual"/>
        </w:rPr>
      </w:pPr>
      <w:hyperlink w:anchor="_Toc157694469" w:history="1">
        <w:r w:rsidRPr="00A2496D">
          <w:rPr>
            <w:rStyle w:val="Hyperlink"/>
          </w:rPr>
          <w:t>8.0</w:t>
        </w:r>
        <w:r>
          <w:rPr>
            <w:rFonts w:asciiTheme="minorHAnsi" w:hAnsiTheme="minorHAnsi"/>
            <w:b w:val="0"/>
            <w:color w:val="auto"/>
            <w:kern w:val="2"/>
            <w:lang w:val="en-GB" w:eastAsia="en-GB"/>
            <w14:ligatures w14:val="standardContextual"/>
          </w:rPr>
          <w:tab/>
        </w:r>
        <w:r w:rsidRPr="00A2496D">
          <w:rPr>
            <w:rStyle w:val="Hyperlink"/>
          </w:rPr>
          <w:t>QUERIES</w:t>
        </w:r>
        <w:r>
          <w:rPr>
            <w:webHidden/>
          </w:rPr>
          <w:tab/>
        </w:r>
        <w:r>
          <w:rPr>
            <w:webHidden/>
          </w:rPr>
          <w:fldChar w:fldCharType="begin"/>
        </w:r>
        <w:r>
          <w:rPr>
            <w:webHidden/>
          </w:rPr>
          <w:instrText xml:space="preserve"> PAGEREF _Toc157694469 \h </w:instrText>
        </w:r>
        <w:r>
          <w:rPr>
            <w:webHidden/>
          </w:rPr>
        </w:r>
        <w:r>
          <w:rPr>
            <w:webHidden/>
          </w:rPr>
          <w:fldChar w:fldCharType="separate"/>
        </w:r>
        <w:r w:rsidR="004030F0">
          <w:rPr>
            <w:webHidden/>
          </w:rPr>
          <w:t>15</w:t>
        </w:r>
        <w:r>
          <w:rPr>
            <w:webHidden/>
          </w:rPr>
          <w:fldChar w:fldCharType="end"/>
        </w:r>
      </w:hyperlink>
    </w:p>
    <w:p w14:paraId="3D539939" w14:textId="65CC60B6" w:rsidR="0084282C" w:rsidRDefault="0084282C" w:rsidP="0084282C">
      <w:pPr>
        <w:pStyle w:val="TOC1"/>
        <w:framePr w:wrap="around"/>
        <w:rPr>
          <w:rFonts w:asciiTheme="minorHAnsi" w:hAnsiTheme="minorHAnsi"/>
          <w:b w:val="0"/>
          <w:color w:val="auto"/>
          <w:kern w:val="2"/>
          <w:lang w:val="en-GB" w:eastAsia="en-GB"/>
          <w14:ligatures w14:val="standardContextual"/>
        </w:rPr>
      </w:pPr>
      <w:hyperlink w:anchor="_Toc157694470" w:history="1">
        <w:r w:rsidRPr="00A2496D">
          <w:rPr>
            <w:rStyle w:val="Hyperlink"/>
          </w:rPr>
          <w:t>ANNEX A: DEFINITIONS</w:t>
        </w:r>
        <w:r>
          <w:rPr>
            <w:webHidden/>
          </w:rPr>
          <w:tab/>
        </w:r>
        <w:r>
          <w:rPr>
            <w:webHidden/>
          </w:rPr>
          <w:fldChar w:fldCharType="begin"/>
        </w:r>
        <w:r>
          <w:rPr>
            <w:webHidden/>
          </w:rPr>
          <w:instrText xml:space="preserve"> PAGEREF _Toc157694470 \h </w:instrText>
        </w:r>
        <w:r>
          <w:rPr>
            <w:webHidden/>
          </w:rPr>
        </w:r>
        <w:r>
          <w:rPr>
            <w:webHidden/>
          </w:rPr>
          <w:fldChar w:fldCharType="separate"/>
        </w:r>
        <w:r w:rsidR="004030F0">
          <w:rPr>
            <w:webHidden/>
          </w:rPr>
          <w:t>15</w:t>
        </w:r>
        <w:r>
          <w:rPr>
            <w:webHidden/>
          </w:rPr>
          <w:fldChar w:fldCharType="end"/>
        </w:r>
      </w:hyperlink>
    </w:p>
    <w:p w14:paraId="23D0CAEC" w14:textId="4B29E311" w:rsidR="000011CF" w:rsidRPr="00126043" w:rsidRDefault="008C2AC5">
      <w:pPr>
        <w:rPr>
          <w:rFonts w:ascii="Calibri" w:hAnsi="Calibri" w:cs="Arial"/>
          <w:color w:val="726B57" w:themeColor="text1" w:themeTint="D9"/>
          <w:sz w:val="22"/>
          <w:szCs w:val="22"/>
        </w:rPr>
      </w:pPr>
      <w:r w:rsidRPr="00126043">
        <w:rPr>
          <w:b/>
          <w:bCs/>
          <w:noProof/>
          <w:sz w:val="22"/>
          <w:szCs w:val="22"/>
        </w:rPr>
        <w:fldChar w:fldCharType="end"/>
      </w:r>
    </w:p>
    <w:sdt>
      <w:sdtPr>
        <w:rPr>
          <w:rFonts w:asciiTheme="minorHAnsi" w:eastAsiaTheme="minorHAnsi" w:hAnsiTheme="minorHAnsi" w:cstheme="minorHAnsi"/>
          <w:b w:val="0"/>
          <w:bCs w:val="0"/>
          <w:color w:val="544F40" w:themeColor="text1"/>
          <w:sz w:val="22"/>
          <w:szCs w:val="22"/>
          <w:lang w:val="en-GB" w:eastAsia="en-US"/>
        </w:rPr>
        <w:id w:val="-1006669388"/>
        <w:docPartObj>
          <w:docPartGallery w:val="Table of Contents"/>
          <w:docPartUnique/>
        </w:docPartObj>
      </w:sdtPr>
      <w:sdtEndPr>
        <w:rPr>
          <w:noProof/>
        </w:rPr>
      </w:sdtEndPr>
      <w:sdtContent>
        <w:p w14:paraId="36F66D62" w14:textId="43834C26" w:rsidR="00547139" w:rsidRPr="00126043" w:rsidRDefault="00547139">
          <w:pPr>
            <w:pStyle w:val="TOCHeading"/>
            <w:rPr>
              <w:color w:val="07A9A5"/>
              <w:sz w:val="22"/>
              <w:szCs w:val="22"/>
            </w:rPr>
          </w:pPr>
          <w:r w:rsidRPr="00126043">
            <w:rPr>
              <w:color w:val="07A9A5"/>
              <w:sz w:val="22"/>
              <w:szCs w:val="22"/>
            </w:rPr>
            <w:t>Contents</w:t>
          </w:r>
        </w:p>
        <w:p w14:paraId="26CF176E" w14:textId="09B8FD22" w:rsidR="00547139" w:rsidRDefault="00331C74"/>
      </w:sdtContent>
    </w:sdt>
    <w:p w14:paraId="1D45832E" w14:textId="77777777" w:rsidR="001C7FBB" w:rsidRDefault="001C7FBB" w:rsidP="004F4EE7">
      <w:pPr>
        <w:tabs>
          <w:tab w:val="left" w:pos="670"/>
        </w:tabs>
        <w:rPr>
          <w:rFonts w:ascii="Calibri" w:hAnsi="Calibri"/>
          <w:color w:val="726B57" w:themeColor="text1" w:themeTint="D9"/>
        </w:rPr>
      </w:pPr>
    </w:p>
    <w:p w14:paraId="6720B2AC" w14:textId="77777777" w:rsidR="003B43FC" w:rsidRPr="003B43FC" w:rsidRDefault="003B43FC" w:rsidP="003B43FC">
      <w:pPr>
        <w:rPr>
          <w:rFonts w:ascii="Calibri" w:hAnsi="Calibri"/>
        </w:rPr>
      </w:pPr>
    </w:p>
    <w:p w14:paraId="21277F19" w14:textId="77777777" w:rsidR="003B43FC" w:rsidRPr="003B43FC" w:rsidRDefault="003B43FC" w:rsidP="003B43FC">
      <w:pPr>
        <w:rPr>
          <w:rFonts w:ascii="Calibri" w:hAnsi="Calibri"/>
        </w:rPr>
      </w:pPr>
    </w:p>
    <w:p w14:paraId="5596408C" w14:textId="77777777" w:rsidR="003B43FC" w:rsidRPr="003B43FC" w:rsidRDefault="003B43FC" w:rsidP="003B43FC">
      <w:pPr>
        <w:rPr>
          <w:rFonts w:ascii="Calibri" w:hAnsi="Calibri"/>
        </w:rPr>
      </w:pPr>
    </w:p>
    <w:p w14:paraId="5E21A8AE" w14:textId="77777777" w:rsidR="003B43FC" w:rsidRPr="003B43FC" w:rsidRDefault="003B43FC" w:rsidP="003B43FC">
      <w:pPr>
        <w:rPr>
          <w:rFonts w:ascii="Calibri" w:hAnsi="Calibri"/>
        </w:rPr>
      </w:pPr>
    </w:p>
    <w:p w14:paraId="5C764A02" w14:textId="77777777" w:rsidR="003B43FC" w:rsidRPr="003B43FC" w:rsidRDefault="003B43FC" w:rsidP="003B43FC">
      <w:pPr>
        <w:rPr>
          <w:rFonts w:ascii="Calibri" w:hAnsi="Calibri"/>
        </w:rPr>
      </w:pPr>
    </w:p>
    <w:p w14:paraId="0703C95C" w14:textId="77777777" w:rsidR="003B43FC" w:rsidRPr="003B43FC" w:rsidRDefault="003B43FC" w:rsidP="003B43FC">
      <w:pPr>
        <w:rPr>
          <w:rFonts w:ascii="Calibri" w:hAnsi="Calibri"/>
        </w:rPr>
      </w:pPr>
    </w:p>
    <w:p w14:paraId="25C24FAB" w14:textId="77777777" w:rsidR="003B43FC" w:rsidRPr="003B43FC" w:rsidRDefault="003B43FC" w:rsidP="003B43FC">
      <w:pPr>
        <w:rPr>
          <w:rFonts w:ascii="Calibri" w:hAnsi="Calibri"/>
        </w:rPr>
      </w:pPr>
    </w:p>
    <w:p w14:paraId="380A964B" w14:textId="77777777" w:rsidR="003B43FC" w:rsidRPr="003B43FC" w:rsidRDefault="003B43FC" w:rsidP="003B43FC">
      <w:pPr>
        <w:rPr>
          <w:rFonts w:ascii="Calibri" w:hAnsi="Calibri"/>
        </w:rPr>
      </w:pPr>
    </w:p>
    <w:p w14:paraId="3D740AC4" w14:textId="77777777" w:rsidR="003B43FC" w:rsidRPr="003B43FC" w:rsidRDefault="003B43FC" w:rsidP="003B43FC">
      <w:pPr>
        <w:rPr>
          <w:rFonts w:ascii="Calibri" w:hAnsi="Calibri"/>
        </w:rPr>
      </w:pPr>
    </w:p>
    <w:p w14:paraId="1D287FE4" w14:textId="77777777" w:rsidR="003B43FC" w:rsidRPr="003B43FC" w:rsidRDefault="003B43FC" w:rsidP="003B43FC">
      <w:pPr>
        <w:rPr>
          <w:rFonts w:ascii="Calibri" w:hAnsi="Calibri"/>
        </w:rPr>
      </w:pPr>
    </w:p>
    <w:p w14:paraId="7B430346" w14:textId="77777777" w:rsidR="003B43FC" w:rsidRPr="003B43FC" w:rsidRDefault="003B43FC" w:rsidP="003B43FC">
      <w:pPr>
        <w:jc w:val="center"/>
        <w:rPr>
          <w:rFonts w:ascii="Calibri" w:hAnsi="Calibri"/>
        </w:rPr>
      </w:pPr>
    </w:p>
    <w:p w14:paraId="6A60DB6E" w14:textId="77777777" w:rsidR="003B43FC" w:rsidRPr="003B43FC" w:rsidRDefault="003B43FC" w:rsidP="003B43FC">
      <w:pPr>
        <w:rPr>
          <w:rFonts w:ascii="Calibri" w:hAnsi="Calibri"/>
        </w:rPr>
      </w:pPr>
    </w:p>
    <w:p w14:paraId="3FFAD24E" w14:textId="77777777" w:rsidR="003B43FC" w:rsidRPr="003B43FC" w:rsidRDefault="003B43FC" w:rsidP="003B43FC">
      <w:pPr>
        <w:rPr>
          <w:rFonts w:ascii="Calibri" w:hAnsi="Calibri"/>
        </w:rPr>
      </w:pPr>
    </w:p>
    <w:p w14:paraId="2BFD1058" w14:textId="77777777" w:rsidR="003B43FC" w:rsidRPr="003B43FC" w:rsidRDefault="003B43FC" w:rsidP="003B43FC">
      <w:pPr>
        <w:rPr>
          <w:rFonts w:ascii="Calibri" w:hAnsi="Calibri"/>
        </w:rPr>
      </w:pPr>
    </w:p>
    <w:p w14:paraId="1CACEC13" w14:textId="77777777" w:rsidR="003B43FC" w:rsidRPr="003B43FC" w:rsidRDefault="003B43FC" w:rsidP="003B43FC">
      <w:pPr>
        <w:rPr>
          <w:rFonts w:ascii="Calibri" w:hAnsi="Calibri"/>
        </w:rPr>
      </w:pPr>
    </w:p>
    <w:p w14:paraId="04C63229" w14:textId="77777777" w:rsidR="003B43FC" w:rsidRPr="003B43FC" w:rsidRDefault="003B43FC" w:rsidP="003B43FC">
      <w:pPr>
        <w:rPr>
          <w:rFonts w:ascii="Calibri" w:hAnsi="Calibri"/>
        </w:rPr>
      </w:pPr>
    </w:p>
    <w:p w14:paraId="1A9C89F1" w14:textId="77777777" w:rsidR="003B43FC" w:rsidRPr="003B43FC" w:rsidRDefault="003B43FC" w:rsidP="003B43FC">
      <w:pPr>
        <w:rPr>
          <w:rFonts w:ascii="Calibri" w:hAnsi="Calibri"/>
        </w:rPr>
      </w:pPr>
    </w:p>
    <w:p w14:paraId="6801BA88" w14:textId="77777777" w:rsidR="003B43FC" w:rsidRPr="003B43FC" w:rsidRDefault="003B43FC" w:rsidP="003B43FC">
      <w:pPr>
        <w:rPr>
          <w:rFonts w:ascii="Calibri" w:hAnsi="Calibri"/>
        </w:rPr>
      </w:pPr>
    </w:p>
    <w:p w14:paraId="1DFECB61" w14:textId="77777777" w:rsidR="003B43FC" w:rsidRPr="003B43FC" w:rsidRDefault="003B43FC" w:rsidP="003B43FC">
      <w:pPr>
        <w:rPr>
          <w:rFonts w:ascii="Calibri" w:hAnsi="Calibri"/>
        </w:rPr>
      </w:pPr>
    </w:p>
    <w:p w14:paraId="1E0C5FB4" w14:textId="77777777" w:rsidR="003B43FC" w:rsidRPr="003B43FC" w:rsidRDefault="003B43FC" w:rsidP="003B43FC">
      <w:pPr>
        <w:rPr>
          <w:rFonts w:ascii="Calibri" w:hAnsi="Calibri"/>
        </w:rPr>
      </w:pPr>
    </w:p>
    <w:p w14:paraId="7BAAB342" w14:textId="77777777" w:rsidR="003B43FC" w:rsidRPr="003B43FC" w:rsidRDefault="003B43FC" w:rsidP="003B43FC">
      <w:pPr>
        <w:rPr>
          <w:rFonts w:ascii="Calibri" w:hAnsi="Calibri"/>
        </w:rPr>
      </w:pPr>
    </w:p>
    <w:p w14:paraId="4EE77F96" w14:textId="0E4C76D1" w:rsidR="003B43FC" w:rsidRPr="003B43FC" w:rsidRDefault="003B43FC" w:rsidP="003B43FC">
      <w:pPr>
        <w:rPr>
          <w:rFonts w:ascii="Calibri" w:hAnsi="Calibri"/>
        </w:rPr>
        <w:sectPr w:rsidR="003B43FC" w:rsidRPr="003B43FC" w:rsidSect="00CE39B8">
          <w:pgSz w:w="11906" w:h="16838" w:code="9"/>
          <w:pgMar w:top="2410" w:right="851" w:bottom="1134" w:left="851" w:header="709" w:footer="113" w:gutter="0"/>
          <w:cols w:space="708"/>
          <w:docGrid w:linePitch="360"/>
        </w:sectPr>
      </w:pPr>
    </w:p>
    <w:p w14:paraId="2216723D" w14:textId="2179FEF2" w:rsidR="000011CF" w:rsidRPr="00CD5B32" w:rsidRDefault="000011CF" w:rsidP="00AE0783">
      <w:pPr>
        <w:pStyle w:val="TOCHeader"/>
        <w:outlineLvl w:val="0"/>
      </w:pPr>
      <w:bookmarkStart w:id="1" w:name="_1.0_BACKGROUND"/>
      <w:bookmarkStart w:id="2" w:name="_Toc157694426"/>
      <w:bookmarkEnd w:id="1"/>
      <w:r w:rsidRPr="00CD5B32">
        <w:lastRenderedPageBreak/>
        <w:t>1</w:t>
      </w:r>
      <w:bookmarkStart w:id="3" w:name="_Toc9585311"/>
      <w:r w:rsidR="003A6822" w:rsidRPr="00CD5B32">
        <w:t>.0</w:t>
      </w:r>
      <w:r w:rsidR="00DC1751" w:rsidRPr="00CD5B32">
        <w:tab/>
      </w:r>
      <w:r w:rsidRPr="00CD5B32">
        <w:t>B</w:t>
      </w:r>
      <w:bookmarkEnd w:id="3"/>
      <w:r w:rsidR="009821AE">
        <w:t>ACKGROUND</w:t>
      </w:r>
      <w:bookmarkEnd w:id="2"/>
    </w:p>
    <w:p w14:paraId="52295258" w14:textId="2232251E" w:rsidR="00CA6DB6" w:rsidRPr="00D2132A" w:rsidRDefault="00CA6DB6" w:rsidP="00CD5B32">
      <w:pPr>
        <w:pStyle w:val="Bodycopy"/>
        <w:jc w:val="both"/>
        <w:rPr>
          <w:rFonts w:ascii="Calibri" w:hAnsi="Calibri" w:cs="Calibri"/>
          <w:color w:val="auto"/>
          <w:sz w:val="22"/>
          <w:szCs w:val="22"/>
        </w:rPr>
      </w:pPr>
      <w:r w:rsidRPr="00D2132A">
        <w:rPr>
          <w:rFonts w:ascii="Calibri" w:hAnsi="Calibri" w:cs="Calibri"/>
          <w:color w:val="auto"/>
          <w:sz w:val="22"/>
          <w:szCs w:val="22"/>
        </w:rPr>
        <w:t xml:space="preserve">The </w:t>
      </w:r>
      <w:r w:rsidR="002711D2">
        <w:rPr>
          <w:rFonts w:ascii="Calibri" w:hAnsi="Calibri" w:cs="Calibri"/>
          <w:color w:val="auto"/>
          <w:sz w:val="22"/>
          <w:szCs w:val="22"/>
        </w:rPr>
        <w:t xml:space="preserve">UK </w:t>
      </w:r>
      <w:r w:rsidR="00106109">
        <w:rPr>
          <w:rFonts w:ascii="Calibri" w:hAnsi="Calibri" w:cs="Calibri"/>
          <w:color w:val="auto"/>
          <w:sz w:val="22"/>
          <w:szCs w:val="22"/>
        </w:rPr>
        <w:t>Shared Prosperity Fund</w:t>
      </w:r>
      <w:r w:rsidR="00A22C30" w:rsidRPr="00D2132A">
        <w:rPr>
          <w:rFonts w:ascii="Calibri" w:hAnsi="Calibri" w:cs="Calibri"/>
          <w:color w:val="auto"/>
          <w:sz w:val="22"/>
          <w:szCs w:val="22"/>
        </w:rPr>
        <w:t xml:space="preserve"> Business Grant</w:t>
      </w:r>
      <w:r w:rsidR="00C638EF" w:rsidRPr="00D2132A">
        <w:rPr>
          <w:rFonts w:ascii="Calibri" w:hAnsi="Calibri" w:cs="Calibri"/>
          <w:color w:val="auto"/>
          <w:sz w:val="22"/>
          <w:szCs w:val="22"/>
        </w:rPr>
        <w:t xml:space="preserve"> i</w:t>
      </w:r>
      <w:r w:rsidRPr="00D2132A">
        <w:rPr>
          <w:rFonts w:ascii="Calibri" w:hAnsi="Calibri" w:cs="Calibri"/>
          <w:color w:val="auto"/>
          <w:sz w:val="22"/>
          <w:szCs w:val="22"/>
        </w:rPr>
        <w:t xml:space="preserve">s administered by </w:t>
      </w:r>
      <w:r w:rsidR="00612905" w:rsidRPr="00D2132A">
        <w:rPr>
          <w:rFonts w:ascii="Calibri" w:hAnsi="Calibri" w:cs="Calibri"/>
          <w:color w:val="auto"/>
          <w:sz w:val="22"/>
          <w:szCs w:val="22"/>
        </w:rPr>
        <w:t>Cumbria Chamber of Comme</w:t>
      </w:r>
      <w:r w:rsidR="0037385C" w:rsidRPr="00D2132A">
        <w:rPr>
          <w:rFonts w:ascii="Calibri" w:hAnsi="Calibri" w:cs="Calibri"/>
          <w:color w:val="auto"/>
          <w:sz w:val="22"/>
          <w:szCs w:val="22"/>
        </w:rPr>
        <w:t>rce</w:t>
      </w:r>
      <w:r w:rsidRPr="00D2132A">
        <w:rPr>
          <w:rFonts w:ascii="Calibri" w:hAnsi="Calibri" w:cs="Calibri"/>
          <w:color w:val="auto"/>
          <w:sz w:val="22"/>
          <w:szCs w:val="22"/>
        </w:rPr>
        <w:t>, a company</w:t>
      </w:r>
      <w:r w:rsidR="00612905" w:rsidRPr="00D2132A">
        <w:rPr>
          <w:rFonts w:ascii="Calibri" w:hAnsi="Calibri" w:cs="Calibri"/>
          <w:color w:val="auto"/>
          <w:sz w:val="22"/>
          <w:szCs w:val="22"/>
        </w:rPr>
        <w:t xml:space="preserve"> limited by guarantee and</w:t>
      </w:r>
      <w:r w:rsidRPr="00D2132A">
        <w:rPr>
          <w:rFonts w:ascii="Calibri" w:hAnsi="Calibri" w:cs="Calibri"/>
          <w:color w:val="auto"/>
          <w:sz w:val="22"/>
          <w:szCs w:val="22"/>
        </w:rPr>
        <w:t xml:space="preserve"> registered in Engl</w:t>
      </w:r>
      <w:r w:rsidR="00612905" w:rsidRPr="00D2132A">
        <w:rPr>
          <w:rFonts w:ascii="Calibri" w:hAnsi="Calibri" w:cs="Calibri"/>
          <w:color w:val="auto"/>
          <w:sz w:val="22"/>
          <w:szCs w:val="22"/>
        </w:rPr>
        <w:t>and, registration number 04211364</w:t>
      </w:r>
      <w:r w:rsidRPr="00D2132A">
        <w:rPr>
          <w:rFonts w:ascii="Calibri" w:hAnsi="Calibri" w:cs="Calibri"/>
          <w:color w:val="auto"/>
          <w:sz w:val="22"/>
          <w:szCs w:val="22"/>
        </w:rPr>
        <w:t>.</w:t>
      </w:r>
    </w:p>
    <w:p w14:paraId="4915B900" w14:textId="77777777" w:rsidR="00633D84" w:rsidRPr="00D2132A" w:rsidRDefault="00633D84" w:rsidP="00CD5B32">
      <w:pPr>
        <w:pStyle w:val="Bodycopy"/>
        <w:jc w:val="both"/>
        <w:rPr>
          <w:rFonts w:ascii="Calibri" w:hAnsi="Calibri" w:cs="Calibri"/>
          <w:color w:val="auto"/>
          <w:sz w:val="22"/>
          <w:szCs w:val="22"/>
        </w:rPr>
      </w:pPr>
    </w:p>
    <w:p w14:paraId="12AAF6D2" w14:textId="201F621E" w:rsidR="00DC1751" w:rsidRPr="00D2132A" w:rsidRDefault="00C638EF" w:rsidP="00CD5B32">
      <w:pPr>
        <w:spacing w:after="160" w:line="259" w:lineRule="auto"/>
        <w:jc w:val="both"/>
        <w:rPr>
          <w:rFonts w:ascii="Calibri" w:hAnsi="Calibri" w:cs="Calibri"/>
          <w:color w:val="auto"/>
          <w:sz w:val="22"/>
          <w:szCs w:val="22"/>
        </w:rPr>
      </w:pPr>
      <w:r w:rsidRPr="00D2132A">
        <w:rPr>
          <w:rFonts w:ascii="Calibri" w:hAnsi="Calibri" w:cs="Calibri"/>
          <w:color w:val="auto"/>
          <w:sz w:val="22"/>
          <w:szCs w:val="22"/>
        </w:rPr>
        <w:t xml:space="preserve">The fund </w:t>
      </w:r>
      <w:r w:rsidR="00CA6DB6" w:rsidRPr="00D2132A">
        <w:rPr>
          <w:rFonts w:ascii="Calibri" w:hAnsi="Calibri" w:cs="Calibri"/>
          <w:color w:val="auto"/>
          <w:sz w:val="22"/>
          <w:szCs w:val="22"/>
        </w:rPr>
        <w:t xml:space="preserve">aims to achieve </w:t>
      </w:r>
      <w:r w:rsidR="005A4AF9">
        <w:rPr>
          <w:rFonts w:ascii="Calibri" w:hAnsi="Calibri" w:cs="Calibri"/>
          <w:color w:val="auto"/>
          <w:sz w:val="22"/>
          <w:szCs w:val="22"/>
        </w:rPr>
        <w:t>its</w:t>
      </w:r>
      <w:r w:rsidR="00CA6DB6" w:rsidRPr="00D2132A">
        <w:rPr>
          <w:rFonts w:ascii="Calibri" w:hAnsi="Calibri" w:cs="Calibri"/>
          <w:color w:val="auto"/>
          <w:sz w:val="22"/>
          <w:szCs w:val="22"/>
        </w:rPr>
        <w:t xml:space="preserve"> objectives by offering grants to </w:t>
      </w:r>
      <w:r w:rsidR="001F65C8" w:rsidRPr="001F65C8">
        <w:rPr>
          <w:rFonts w:ascii="Calibri" w:hAnsi="Calibri" w:cs="Calibri"/>
          <w:color w:val="auto"/>
          <w:sz w:val="22"/>
          <w:szCs w:val="22"/>
          <w:lang w:val="en-US"/>
        </w:rPr>
        <w:t xml:space="preserve">Small and Medium-sized Enterprises (SMEs) </w:t>
      </w:r>
      <w:r w:rsidR="00B80665">
        <w:rPr>
          <w:rFonts w:ascii="Calibri" w:hAnsi="Calibri" w:cs="Calibri"/>
          <w:color w:val="auto"/>
          <w:sz w:val="22"/>
          <w:szCs w:val="22"/>
          <w:lang w:val="en-US"/>
        </w:rPr>
        <w:t xml:space="preserve">which includes micro, small and medium sized businesses </w:t>
      </w:r>
      <w:r w:rsidR="00F35922" w:rsidRPr="00D2132A">
        <w:rPr>
          <w:rFonts w:ascii="Calibri" w:hAnsi="Calibri" w:cs="Calibri"/>
          <w:color w:val="auto"/>
          <w:sz w:val="22"/>
          <w:szCs w:val="22"/>
        </w:rPr>
        <w:t>f</w:t>
      </w:r>
      <w:r w:rsidR="00DC1751" w:rsidRPr="00D2132A">
        <w:rPr>
          <w:rFonts w:ascii="Calibri" w:hAnsi="Calibri" w:cs="Calibri"/>
          <w:color w:val="auto"/>
          <w:sz w:val="22"/>
          <w:szCs w:val="22"/>
        </w:rPr>
        <w:t>or purchase of equipment and small scale capital improvements to help grow, diversify, innovate and improve productivity.</w:t>
      </w:r>
      <w:r w:rsidR="00F35922" w:rsidRPr="00D2132A">
        <w:rPr>
          <w:rFonts w:ascii="Calibri" w:hAnsi="Calibri" w:cs="Calibri"/>
          <w:color w:val="auto"/>
          <w:sz w:val="22"/>
          <w:szCs w:val="22"/>
        </w:rPr>
        <w:t xml:space="preserve"> This support includes agricultural transition and farm diversification.</w:t>
      </w:r>
    </w:p>
    <w:p w14:paraId="5DF2BD7A" w14:textId="68C875E5" w:rsidR="00EE05AE" w:rsidRPr="00D2132A" w:rsidRDefault="00482E4A" w:rsidP="00983702">
      <w:pPr>
        <w:spacing w:after="160" w:line="259" w:lineRule="auto"/>
        <w:jc w:val="both"/>
        <w:rPr>
          <w:rFonts w:ascii="Calibri" w:hAnsi="Calibri" w:cs="Calibri"/>
          <w:color w:val="auto"/>
          <w:sz w:val="22"/>
          <w:szCs w:val="22"/>
        </w:rPr>
      </w:pPr>
      <w:r w:rsidRPr="00D2132A">
        <w:rPr>
          <w:rFonts w:ascii="Calibri" w:hAnsi="Calibri" w:cs="Calibri"/>
          <w:color w:val="auto"/>
          <w:sz w:val="22"/>
          <w:szCs w:val="22"/>
        </w:rPr>
        <w:t xml:space="preserve">This project is supported by Westmorland and Furness Council through their </w:t>
      </w:r>
      <w:r w:rsidR="00FB2629">
        <w:rPr>
          <w:rFonts w:ascii="Calibri" w:hAnsi="Calibri" w:cs="Calibri"/>
          <w:color w:val="auto"/>
          <w:sz w:val="22"/>
          <w:szCs w:val="22"/>
        </w:rPr>
        <w:t>UK SPF</w:t>
      </w:r>
      <w:r w:rsidRPr="00D2132A">
        <w:rPr>
          <w:rFonts w:ascii="Calibri" w:hAnsi="Calibri" w:cs="Calibri"/>
          <w:color w:val="auto"/>
          <w:sz w:val="22"/>
          <w:szCs w:val="22"/>
        </w:rPr>
        <w:t xml:space="preserve"> Fund.</w:t>
      </w:r>
      <w:bookmarkStart w:id="4" w:name="_Toc385964241"/>
      <w:bookmarkStart w:id="5" w:name="_Toc9585312"/>
    </w:p>
    <w:p w14:paraId="172B38DD" w14:textId="77777777" w:rsidR="00B83485" w:rsidRPr="00983702" w:rsidRDefault="00B83485" w:rsidP="00983702">
      <w:pPr>
        <w:spacing w:after="160" w:line="259" w:lineRule="auto"/>
        <w:jc w:val="both"/>
        <w:rPr>
          <w:rFonts w:ascii="Calibri" w:hAnsi="Calibri" w:cs="Calibri"/>
          <w:sz w:val="22"/>
          <w:szCs w:val="22"/>
        </w:rPr>
      </w:pPr>
    </w:p>
    <w:p w14:paraId="37FA06D1" w14:textId="053F06C1" w:rsidR="00482E4A" w:rsidRDefault="00DC1751" w:rsidP="00AE0783">
      <w:pPr>
        <w:pStyle w:val="TOCHeader"/>
        <w:outlineLvl w:val="0"/>
      </w:pPr>
      <w:bookmarkStart w:id="6" w:name="_2.0_ELIGIBILITY"/>
      <w:bookmarkStart w:id="7" w:name="_Toc157694427"/>
      <w:bookmarkEnd w:id="6"/>
      <w:r w:rsidRPr="00CD5B32">
        <w:t>2.0</w:t>
      </w:r>
      <w:r w:rsidRPr="00CD5B32">
        <w:tab/>
      </w:r>
      <w:bookmarkStart w:id="8" w:name="_Toc9585318"/>
      <w:bookmarkEnd w:id="4"/>
      <w:bookmarkEnd w:id="5"/>
      <w:r w:rsidR="00482E4A">
        <w:t>ELIGIBILITY</w:t>
      </w:r>
      <w:bookmarkEnd w:id="7"/>
      <w:r w:rsidR="00482E4A">
        <w:t xml:space="preserve"> </w:t>
      </w:r>
    </w:p>
    <w:p w14:paraId="71CB4903" w14:textId="57BC579A" w:rsidR="00482E4A" w:rsidRPr="00D2132A" w:rsidRDefault="00482E4A" w:rsidP="00AA6473">
      <w:pPr>
        <w:pStyle w:val="TOC-Sub"/>
        <w:outlineLvl w:val="1"/>
        <w:rPr>
          <w:color w:val="auto"/>
        </w:rPr>
      </w:pPr>
      <w:bookmarkStart w:id="9" w:name="_2.1_General"/>
      <w:bookmarkStart w:id="10" w:name="_Toc152159650"/>
      <w:bookmarkStart w:id="11" w:name="_Toc157694428"/>
      <w:bookmarkEnd w:id="8"/>
      <w:bookmarkEnd w:id="9"/>
      <w:r w:rsidRPr="00D2132A">
        <w:rPr>
          <w:color w:val="auto"/>
        </w:rPr>
        <w:t>2.1</w:t>
      </w:r>
      <w:r w:rsidRPr="00D2132A">
        <w:rPr>
          <w:color w:val="auto"/>
        </w:rPr>
        <w:tab/>
        <w:t>General</w:t>
      </w:r>
      <w:bookmarkEnd w:id="10"/>
      <w:bookmarkEnd w:id="11"/>
    </w:p>
    <w:p w14:paraId="48C29301" w14:textId="65C3FB98" w:rsidR="00482E4A" w:rsidRPr="00D2132A" w:rsidRDefault="00482E4A" w:rsidP="00482E4A">
      <w:pPr>
        <w:pStyle w:val="Bodycopy"/>
        <w:jc w:val="both"/>
        <w:rPr>
          <w:rFonts w:ascii="Calibri" w:hAnsi="Calibri" w:cs="Calibri"/>
          <w:color w:val="auto"/>
          <w:sz w:val="22"/>
          <w:szCs w:val="22"/>
        </w:rPr>
      </w:pPr>
      <w:r w:rsidRPr="00D2132A">
        <w:rPr>
          <w:rFonts w:ascii="Calibri" w:hAnsi="Calibri" w:cs="Calibri"/>
          <w:color w:val="auto"/>
          <w:sz w:val="22"/>
          <w:szCs w:val="22"/>
        </w:rPr>
        <w:t xml:space="preserve">The </w:t>
      </w:r>
      <w:r w:rsidR="00E20D62">
        <w:rPr>
          <w:rFonts w:ascii="Calibri" w:hAnsi="Calibri" w:cs="Calibri"/>
          <w:color w:val="auto"/>
          <w:sz w:val="22"/>
          <w:szCs w:val="22"/>
        </w:rPr>
        <w:t>UK SPF</w:t>
      </w:r>
      <w:r w:rsidRPr="00D2132A">
        <w:rPr>
          <w:rFonts w:ascii="Calibri" w:hAnsi="Calibri" w:cs="Calibri"/>
          <w:color w:val="auto"/>
          <w:sz w:val="22"/>
          <w:szCs w:val="22"/>
        </w:rPr>
        <w:t xml:space="preserve"> Business Grant may offer discretionary grants to businesses which fulfil the criteria set out in these guidelines. Grants may be offered to projects that:</w:t>
      </w:r>
    </w:p>
    <w:p w14:paraId="6B8E67CD" w14:textId="77777777" w:rsidR="00482E4A" w:rsidRPr="00D2132A" w:rsidRDefault="00482E4A" w:rsidP="00482E4A">
      <w:pPr>
        <w:pStyle w:val="Bulletedtextlevel2"/>
        <w:numPr>
          <w:ilvl w:val="0"/>
          <w:numId w:val="5"/>
        </w:numPr>
        <w:jc w:val="both"/>
        <w:rPr>
          <w:rFonts w:ascii="Calibri" w:hAnsi="Calibri" w:cs="Calibri"/>
          <w:color w:val="auto"/>
          <w:sz w:val="22"/>
          <w:szCs w:val="22"/>
        </w:rPr>
      </w:pPr>
      <w:r w:rsidRPr="00D2132A">
        <w:rPr>
          <w:rFonts w:ascii="Calibri" w:hAnsi="Calibri" w:cs="Calibri"/>
          <w:color w:val="auto"/>
          <w:sz w:val="22"/>
          <w:szCs w:val="22"/>
        </w:rPr>
        <w:t>Offer good value for money</w:t>
      </w:r>
    </w:p>
    <w:p w14:paraId="51310687" w14:textId="77777777" w:rsidR="00482E4A" w:rsidRPr="00D2132A" w:rsidRDefault="00482E4A" w:rsidP="00482E4A">
      <w:pPr>
        <w:pStyle w:val="Bulletedtextlevel2"/>
        <w:numPr>
          <w:ilvl w:val="0"/>
          <w:numId w:val="5"/>
        </w:numPr>
        <w:jc w:val="both"/>
        <w:rPr>
          <w:rFonts w:ascii="Calibri" w:hAnsi="Calibri" w:cs="Calibri"/>
          <w:color w:val="auto"/>
          <w:sz w:val="22"/>
          <w:szCs w:val="22"/>
        </w:rPr>
      </w:pPr>
      <w:r w:rsidRPr="00D2132A">
        <w:rPr>
          <w:rFonts w:ascii="Calibri" w:hAnsi="Calibri" w:cs="Calibri"/>
          <w:color w:val="auto"/>
          <w:sz w:val="22"/>
          <w:szCs w:val="22"/>
        </w:rPr>
        <w:t>Make a clear and reasonable case for needing grant support</w:t>
      </w:r>
    </w:p>
    <w:p w14:paraId="60D447FA" w14:textId="77777777" w:rsidR="00482E4A" w:rsidRPr="00D2132A" w:rsidRDefault="00482E4A" w:rsidP="00482E4A">
      <w:pPr>
        <w:pStyle w:val="Bulletedtextlevel2"/>
        <w:numPr>
          <w:ilvl w:val="0"/>
          <w:numId w:val="5"/>
        </w:numPr>
        <w:jc w:val="both"/>
        <w:rPr>
          <w:rFonts w:ascii="Calibri" w:hAnsi="Calibri" w:cs="Calibri"/>
          <w:color w:val="auto"/>
          <w:sz w:val="22"/>
          <w:szCs w:val="22"/>
        </w:rPr>
      </w:pPr>
      <w:r w:rsidRPr="00D2132A">
        <w:rPr>
          <w:rFonts w:ascii="Calibri" w:hAnsi="Calibri" w:cs="Calibri"/>
          <w:color w:val="auto"/>
          <w:sz w:val="22"/>
          <w:szCs w:val="22"/>
        </w:rPr>
        <w:t>Have adequate funding towards the balance of the project</w:t>
      </w:r>
    </w:p>
    <w:p w14:paraId="4ADA20FB" w14:textId="77777777" w:rsidR="00482E4A" w:rsidRPr="00D2132A" w:rsidRDefault="00482E4A" w:rsidP="00482E4A">
      <w:pPr>
        <w:pStyle w:val="Bulletedtextlevel2"/>
        <w:numPr>
          <w:ilvl w:val="0"/>
          <w:numId w:val="5"/>
        </w:numPr>
        <w:jc w:val="both"/>
        <w:rPr>
          <w:rFonts w:ascii="Calibri" w:hAnsi="Calibri" w:cs="Calibri"/>
          <w:color w:val="auto"/>
          <w:sz w:val="22"/>
          <w:szCs w:val="22"/>
        </w:rPr>
      </w:pPr>
      <w:r w:rsidRPr="00D2132A">
        <w:rPr>
          <w:rFonts w:ascii="Calibri" w:hAnsi="Calibri" w:cs="Calibri"/>
          <w:color w:val="auto"/>
          <w:sz w:val="22"/>
          <w:szCs w:val="22"/>
        </w:rPr>
        <w:t>Can complete within the required timescales</w:t>
      </w:r>
    </w:p>
    <w:p w14:paraId="2D300AE3" w14:textId="2319B25E" w:rsidR="00482E4A" w:rsidRPr="00D2132A" w:rsidRDefault="00482E4A" w:rsidP="00482E4A">
      <w:pPr>
        <w:pStyle w:val="Bulletedtextlevel2"/>
        <w:numPr>
          <w:ilvl w:val="0"/>
          <w:numId w:val="5"/>
        </w:numPr>
        <w:jc w:val="both"/>
        <w:rPr>
          <w:rFonts w:ascii="Calibri" w:hAnsi="Calibri" w:cs="Calibri"/>
          <w:color w:val="auto"/>
          <w:sz w:val="22"/>
          <w:szCs w:val="22"/>
        </w:rPr>
      </w:pPr>
      <w:r w:rsidRPr="00D2132A">
        <w:rPr>
          <w:rFonts w:ascii="Calibri" w:hAnsi="Calibri" w:cs="Calibri"/>
          <w:color w:val="auto"/>
          <w:sz w:val="22"/>
          <w:szCs w:val="22"/>
        </w:rPr>
        <w:t xml:space="preserve">Demonstrate alignment to objectives and requirements of </w:t>
      </w:r>
      <w:r w:rsidR="002711D2">
        <w:rPr>
          <w:rFonts w:ascii="Calibri" w:hAnsi="Calibri" w:cs="Calibri"/>
          <w:color w:val="auto"/>
          <w:sz w:val="22"/>
          <w:szCs w:val="22"/>
        </w:rPr>
        <w:t>UK SPF</w:t>
      </w:r>
    </w:p>
    <w:p w14:paraId="6C149F34" w14:textId="77777777" w:rsidR="00482E4A" w:rsidRPr="00D2132A" w:rsidRDefault="00482E4A" w:rsidP="00482E4A">
      <w:pPr>
        <w:pStyle w:val="Bodycopy"/>
        <w:jc w:val="both"/>
        <w:rPr>
          <w:rFonts w:ascii="Calibri" w:hAnsi="Calibri" w:cs="Calibri"/>
          <w:color w:val="auto"/>
          <w:sz w:val="22"/>
          <w:szCs w:val="22"/>
        </w:rPr>
      </w:pPr>
    </w:p>
    <w:p w14:paraId="271E67CE" w14:textId="1F8E04AC" w:rsidR="00482E4A" w:rsidRPr="00D2132A" w:rsidRDefault="00482E4A" w:rsidP="00482E4A">
      <w:pPr>
        <w:pStyle w:val="Bodycopy"/>
        <w:jc w:val="both"/>
        <w:rPr>
          <w:rFonts w:ascii="Calibri" w:hAnsi="Calibri" w:cs="Calibri"/>
          <w:color w:val="auto"/>
          <w:sz w:val="22"/>
          <w:szCs w:val="22"/>
        </w:rPr>
      </w:pPr>
      <w:r w:rsidRPr="00D2132A">
        <w:rPr>
          <w:rFonts w:ascii="Calibri" w:hAnsi="Calibri" w:cs="Calibri"/>
          <w:color w:val="auto"/>
          <w:sz w:val="22"/>
          <w:szCs w:val="22"/>
        </w:rPr>
        <w:t xml:space="preserve">Grants are discretionary and competitive. There is no obligation on the </w:t>
      </w:r>
      <w:r w:rsidR="00E20D62">
        <w:rPr>
          <w:rFonts w:ascii="Calibri" w:hAnsi="Calibri" w:cs="Calibri"/>
          <w:color w:val="auto"/>
          <w:sz w:val="22"/>
          <w:szCs w:val="22"/>
        </w:rPr>
        <w:t>UK SPF</w:t>
      </w:r>
      <w:r w:rsidRPr="00D2132A">
        <w:rPr>
          <w:rFonts w:ascii="Calibri" w:hAnsi="Calibri" w:cs="Calibri"/>
          <w:color w:val="auto"/>
          <w:sz w:val="22"/>
          <w:szCs w:val="22"/>
        </w:rPr>
        <w:t xml:space="preserve"> Business Grant panel to offer grants even where all </w:t>
      </w:r>
      <w:r w:rsidR="00625EA2" w:rsidRPr="00D2132A">
        <w:rPr>
          <w:rFonts w:ascii="Calibri" w:hAnsi="Calibri" w:cs="Calibri"/>
          <w:color w:val="auto"/>
          <w:sz w:val="22"/>
          <w:szCs w:val="22"/>
        </w:rPr>
        <w:t xml:space="preserve">of </w:t>
      </w:r>
      <w:r w:rsidRPr="00D2132A">
        <w:rPr>
          <w:rFonts w:ascii="Calibri" w:hAnsi="Calibri" w:cs="Calibri"/>
          <w:color w:val="auto"/>
          <w:sz w:val="22"/>
          <w:szCs w:val="22"/>
        </w:rPr>
        <w:t>the above criteria appear to have been met.</w:t>
      </w:r>
    </w:p>
    <w:p w14:paraId="63F852C9" w14:textId="65047D3E" w:rsidR="00482E4A" w:rsidRPr="00D2132A" w:rsidRDefault="00482E4A" w:rsidP="00AA6473">
      <w:pPr>
        <w:pStyle w:val="TOC-Sub"/>
        <w:outlineLvl w:val="1"/>
        <w:rPr>
          <w:color w:val="auto"/>
        </w:rPr>
      </w:pPr>
      <w:bookmarkStart w:id="12" w:name="_2.2_Business_Size"/>
      <w:bookmarkStart w:id="13" w:name="_Toc152159651"/>
      <w:bookmarkStart w:id="14" w:name="_Toc157694429"/>
      <w:bookmarkEnd w:id="12"/>
      <w:r w:rsidRPr="00D2132A">
        <w:rPr>
          <w:color w:val="auto"/>
        </w:rPr>
        <w:t>2.2</w:t>
      </w:r>
      <w:r w:rsidRPr="00D2132A">
        <w:rPr>
          <w:color w:val="auto"/>
        </w:rPr>
        <w:tab/>
        <w:t>Business Size</w:t>
      </w:r>
      <w:bookmarkEnd w:id="13"/>
      <w:bookmarkEnd w:id="14"/>
    </w:p>
    <w:p w14:paraId="211B0619" w14:textId="36B3E003" w:rsidR="00482E4A" w:rsidRPr="00D2132A" w:rsidRDefault="006347D2" w:rsidP="00502D18">
      <w:pPr>
        <w:rPr>
          <w:rFonts w:ascii="Calibri" w:hAnsi="Calibri" w:cs="Calibri"/>
          <w:color w:val="auto"/>
          <w:sz w:val="22"/>
          <w:szCs w:val="22"/>
        </w:rPr>
      </w:pPr>
      <w:r w:rsidRPr="006347D2">
        <w:rPr>
          <w:rFonts w:ascii="Calibri" w:hAnsi="Calibri" w:cs="Calibri"/>
          <w:color w:val="auto"/>
          <w:sz w:val="22"/>
          <w:szCs w:val="22"/>
          <w:lang w:val="en-US"/>
        </w:rPr>
        <w:t xml:space="preserve">Small and Medium-sized Enterprises (SMEs) </w:t>
      </w:r>
      <w:r w:rsidR="00482E4A" w:rsidRPr="00D2132A">
        <w:rPr>
          <w:rFonts w:ascii="Calibri" w:hAnsi="Calibri" w:cs="Calibri"/>
          <w:color w:val="auto"/>
          <w:sz w:val="22"/>
          <w:szCs w:val="22"/>
        </w:rPr>
        <w:t>are eligible to apply</w:t>
      </w:r>
      <w:r w:rsidR="00502D18" w:rsidRPr="00D2132A">
        <w:rPr>
          <w:rFonts w:ascii="Calibri" w:hAnsi="Calibri" w:cs="Calibri"/>
          <w:color w:val="auto"/>
          <w:sz w:val="22"/>
          <w:szCs w:val="22"/>
        </w:rPr>
        <w:t>, as defined below.</w:t>
      </w:r>
    </w:p>
    <w:p w14:paraId="5A44F141" w14:textId="77777777" w:rsidR="00502D18" w:rsidRPr="00D2132A" w:rsidRDefault="00502D18" w:rsidP="00502D18">
      <w:pPr>
        <w:rPr>
          <w:rFonts w:ascii="Calibri" w:hAnsi="Calibri" w:cs="Calibri"/>
          <w:color w:val="auto"/>
          <w:sz w:val="22"/>
          <w:szCs w:val="22"/>
        </w:rPr>
      </w:pPr>
    </w:p>
    <w:p w14:paraId="01B8CC22" w14:textId="1AFE9331" w:rsidR="00502D18" w:rsidRPr="00D2132A" w:rsidRDefault="00502D18" w:rsidP="00502D18">
      <w:pPr>
        <w:rPr>
          <w:rFonts w:ascii="Calibri" w:eastAsia="Times New Roman" w:hAnsi="Calibri" w:cs="Calibri"/>
          <w:color w:val="auto"/>
          <w:sz w:val="22"/>
          <w:szCs w:val="22"/>
        </w:rPr>
      </w:pPr>
      <w:r w:rsidRPr="00D2132A">
        <w:rPr>
          <w:rFonts w:ascii="Calibri" w:eastAsia="Times New Roman" w:hAnsi="Calibri" w:cs="Calibri"/>
          <w:color w:val="auto"/>
          <w:sz w:val="22"/>
          <w:szCs w:val="22"/>
        </w:rPr>
        <w:t xml:space="preserve">A small enterprise means an enterprise that meets two or more of the qualifying criteria for a small enterprise, as set out in section 382 of the Companies Act 2006: </w:t>
      </w:r>
    </w:p>
    <w:p w14:paraId="15DF46AB" w14:textId="0C573B0A" w:rsidR="00502D18" w:rsidRPr="00D2132A" w:rsidRDefault="00502D18" w:rsidP="00502D18">
      <w:pPr>
        <w:pStyle w:val="ListParagraph"/>
        <w:numPr>
          <w:ilvl w:val="0"/>
          <w:numId w:val="19"/>
        </w:numPr>
        <w:jc w:val="both"/>
        <w:rPr>
          <w:rFonts w:ascii="Calibri" w:eastAsia="Times New Roman" w:hAnsi="Calibri" w:cs="Calibri"/>
          <w:color w:val="auto"/>
          <w:sz w:val="22"/>
          <w:szCs w:val="22"/>
        </w:rPr>
      </w:pPr>
      <w:r w:rsidRPr="00D2132A">
        <w:rPr>
          <w:rFonts w:ascii="Calibri" w:eastAsia="Times New Roman" w:hAnsi="Calibri" w:cs="Calibri"/>
          <w:color w:val="auto"/>
          <w:sz w:val="22"/>
          <w:szCs w:val="22"/>
        </w:rPr>
        <w:t>Turnover not more than £10.2m</w:t>
      </w:r>
    </w:p>
    <w:p w14:paraId="288CCA30" w14:textId="55ECE9F6" w:rsidR="00502D18" w:rsidRPr="00D2132A" w:rsidRDefault="00502D18" w:rsidP="00502D18">
      <w:pPr>
        <w:pStyle w:val="ListParagraph"/>
        <w:numPr>
          <w:ilvl w:val="0"/>
          <w:numId w:val="19"/>
        </w:numPr>
        <w:jc w:val="both"/>
        <w:rPr>
          <w:rFonts w:ascii="Calibri" w:eastAsia="Times New Roman" w:hAnsi="Calibri" w:cs="Calibri"/>
          <w:color w:val="auto"/>
          <w:sz w:val="22"/>
          <w:szCs w:val="22"/>
        </w:rPr>
      </w:pPr>
      <w:r w:rsidRPr="00D2132A">
        <w:rPr>
          <w:rFonts w:ascii="Calibri" w:eastAsia="Times New Roman" w:hAnsi="Calibri" w:cs="Calibri"/>
          <w:color w:val="auto"/>
          <w:sz w:val="22"/>
          <w:szCs w:val="22"/>
        </w:rPr>
        <w:t>Balance sheet total not more than £5.1m</w:t>
      </w:r>
    </w:p>
    <w:p w14:paraId="1669CB7E" w14:textId="442FC32C" w:rsidR="00502D18" w:rsidRPr="00D2132A" w:rsidRDefault="00502D18" w:rsidP="00502D18">
      <w:pPr>
        <w:pStyle w:val="ListParagraph"/>
        <w:numPr>
          <w:ilvl w:val="0"/>
          <w:numId w:val="19"/>
        </w:numPr>
        <w:jc w:val="both"/>
        <w:rPr>
          <w:rFonts w:ascii="Calibri" w:eastAsia="Times New Roman" w:hAnsi="Calibri" w:cs="Calibri"/>
          <w:color w:val="auto"/>
          <w:sz w:val="22"/>
          <w:szCs w:val="22"/>
        </w:rPr>
      </w:pPr>
      <w:r w:rsidRPr="00D2132A">
        <w:rPr>
          <w:rFonts w:ascii="Calibri" w:eastAsia="Times New Roman" w:hAnsi="Calibri" w:cs="Calibri"/>
          <w:color w:val="auto"/>
          <w:sz w:val="22"/>
          <w:szCs w:val="22"/>
        </w:rPr>
        <w:t>Number of employees not more than 50</w:t>
      </w:r>
    </w:p>
    <w:p w14:paraId="4AB95EF9" w14:textId="4BB2321F" w:rsidR="00502D18" w:rsidRPr="00502D18" w:rsidRDefault="00502D18" w:rsidP="00502D18">
      <w:pPr>
        <w:rPr>
          <w:rFonts w:ascii="Calibri" w:eastAsia="Times New Roman" w:hAnsi="Calibri" w:cs="Calibri"/>
          <w:color w:val="2F5496"/>
          <w:sz w:val="22"/>
          <w:szCs w:val="22"/>
        </w:rPr>
      </w:pPr>
      <w:r w:rsidRPr="00502D18">
        <w:rPr>
          <w:rFonts w:ascii="Calibri" w:eastAsia="Times New Roman" w:hAnsi="Calibri" w:cs="Calibri"/>
          <w:color w:val="auto"/>
          <w:sz w:val="22"/>
          <w:szCs w:val="22"/>
        </w:rPr>
        <w:t>More detail is available here</w:t>
      </w:r>
      <w:r w:rsidRPr="00502D18">
        <w:rPr>
          <w:rFonts w:ascii="Calibri" w:eastAsia="Times New Roman" w:hAnsi="Calibri" w:cs="Calibri"/>
          <w:color w:val="2F5496"/>
          <w:sz w:val="22"/>
          <w:szCs w:val="22"/>
        </w:rPr>
        <w:t xml:space="preserve"> </w:t>
      </w:r>
      <w:hyperlink r:id="rId15" w:history="1">
        <w:r w:rsidRPr="00794161">
          <w:rPr>
            <w:rStyle w:val="Hyperlink"/>
            <w:rFonts w:ascii="Calibri" w:eastAsia="Times New Roman" w:hAnsi="Calibri" w:cs="Calibri"/>
            <w:color w:val="0070C0"/>
            <w:sz w:val="22"/>
            <w:szCs w:val="22"/>
          </w:rPr>
          <w:t>https://www.legislation.gov.uk/ukpga/2006/46/section/382</w:t>
        </w:r>
      </w:hyperlink>
      <w:r w:rsidR="005D5F31">
        <w:rPr>
          <w:rFonts w:ascii="Calibri" w:eastAsia="Times New Roman" w:hAnsi="Calibri" w:cs="Calibri"/>
          <w:color w:val="2F5496"/>
          <w:sz w:val="22"/>
          <w:szCs w:val="22"/>
        </w:rPr>
        <w:t>.</w:t>
      </w:r>
    </w:p>
    <w:p w14:paraId="2D3C000E" w14:textId="77777777" w:rsidR="00502D18" w:rsidRPr="00D2132A" w:rsidRDefault="00502D18" w:rsidP="00502D18">
      <w:pPr>
        <w:pStyle w:val="ListParagraph"/>
        <w:ind w:left="360"/>
        <w:contextualSpacing w:val="0"/>
        <w:rPr>
          <w:color w:val="auto"/>
        </w:rPr>
      </w:pPr>
    </w:p>
    <w:p w14:paraId="3CA13445" w14:textId="77777777" w:rsidR="005D5F31" w:rsidRPr="00D2132A" w:rsidRDefault="00502D18" w:rsidP="00502D18">
      <w:pPr>
        <w:rPr>
          <w:rFonts w:ascii="Calibri" w:hAnsi="Calibri" w:cs="Calibri"/>
          <w:color w:val="auto"/>
          <w:sz w:val="22"/>
          <w:szCs w:val="22"/>
        </w:rPr>
      </w:pPr>
      <w:r w:rsidRPr="00D2132A">
        <w:rPr>
          <w:rFonts w:ascii="Calibri" w:hAnsi="Calibri" w:cs="Calibri"/>
          <w:color w:val="auto"/>
          <w:sz w:val="22"/>
          <w:szCs w:val="22"/>
        </w:rPr>
        <w:t xml:space="preserve">A micro enterprise </w:t>
      </w:r>
      <w:r w:rsidR="005D5F31" w:rsidRPr="00D2132A">
        <w:rPr>
          <w:rFonts w:ascii="Calibri" w:hAnsi="Calibri" w:cs="Calibri"/>
          <w:color w:val="auto"/>
          <w:sz w:val="22"/>
          <w:szCs w:val="22"/>
        </w:rPr>
        <w:t xml:space="preserve">means an enterprise that meets two or more of the qualifying criteria for a micro enterprise, as set out in section 384A of the </w:t>
      </w:r>
      <w:r w:rsidRPr="00D2132A">
        <w:rPr>
          <w:rFonts w:ascii="Calibri" w:hAnsi="Calibri" w:cs="Calibri"/>
          <w:color w:val="auto"/>
          <w:sz w:val="22"/>
          <w:szCs w:val="22"/>
        </w:rPr>
        <w:t>Companies Act 2006</w:t>
      </w:r>
      <w:r w:rsidR="005D5F31" w:rsidRPr="00D2132A">
        <w:rPr>
          <w:rFonts w:ascii="Calibri" w:hAnsi="Calibri" w:cs="Calibri"/>
          <w:color w:val="auto"/>
          <w:sz w:val="22"/>
          <w:szCs w:val="22"/>
        </w:rPr>
        <w:t>:</w:t>
      </w:r>
    </w:p>
    <w:p w14:paraId="21DD87A0" w14:textId="384AE8C7" w:rsidR="005D5F31" w:rsidRPr="00D2132A" w:rsidRDefault="005D5F31" w:rsidP="005D5F31">
      <w:pPr>
        <w:pStyle w:val="ListParagraph"/>
        <w:numPr>
          <w:ilvl w:val="0"/>
          <w:numId w:val="20"/>
        </w:numPr>
        <w:rPr>
          <w:rFonts w:ascii="Calibri" w:hAnsi="Calibri" w:cs="Calibri"/>
          <w:color w:val="auto"/>
          <w:sz w:val="22"/>
          <w:szCs w:val="22"/>
        </w:rPr>
      </w:pPr>
      <w:r w:rsidRPr="00D2132A">
        <w:rPr>
          <w:rFonts w:ascii="Calibri" w:hAnsi="Calibri" w:cs="Calibri"/>
          <w:color w:val="auto"/>
          <w:sz w:val="22"/>
          <w:szCs w:val="22"/>
        </w:rPr>
        <w:t>Turnover not more than £632,000</w:t>
      </w:r>
    </w:p>
    <w:p w14:paraId="686EBFCC" w14:textId="5753E024" w:rsidR="005D5F31" w:rsidRPr="00D2132A" w:rsidRDefault="005D5F31" w:rsidP="005D5F31">
      <w:pPr>
        <w:pStyle w:val="ListParagraph"/>
        <w:numPr>
          <w:ilvl w:val="0"/>
          <w:numId w:val="20"/>
        </w:numPr>
        <w:rPr>
          <w:rFonts w:ascii="Calibri" w:hAnsi="Calibri" w:cs="Calibri"/>
          <w:color w:val="auto"/>
          <w:sz w:val="22"/>
          <w:szCs w:val="22"/>
        </w:rPr>
      </w:pPr>
      <w:r w:rsidRPr="00D2132A">
        <w:rPr>
          <w:rFonts w:ascii="Calibri" w:hAnsi="Calibri" w:cs="Calibri"/>
          <w:color w:val="auto"/>
          <w:sz w:val="22"/>
          <w:szCs w:val="22"/>
        </w:rPr>
        <w:t>Balance sheet total not more than £316,000</w:t>
      </w:r>
    </w:p>
    <w:p w14:paraId="46B1E757" w14:textId="795B351D" w:rsidR="005D5F31" w:rsidRPr="00D2132A" w:rsidRDefault="005D5F31" w:rsidP="005D5F31">
      <w:pPr>
        <w:pStyle w:val="ListParagraph"/>
        <w:numPr>
          <w:ilvl w:val="0"/>
          <w:numId w:val="20"/>
        </w:numPr>
        <w:rPr>
          <w:rFonts w:ascii="Calibri" w:hAnsi="Calibri" w:cs="Calibri"/>
          <w:color w:val="auto"/>
          <w:sz w:val="22"/>
          <w:szCs w:val="22"/>
        </w:rPr>
      </w:pPr>
      <w:r w:rsidRPr="00D2132A">
        <w:rPr>
          <w:rFonts w:ascii="Calibri" w:hAnsi="Calibri" w:cs="Calibri"/>
          <w:color w:val="auto"/>
          <w:sz w:val="22"/>
          <w:szCs w:val="22"/>
        </w:rPr>
        <w:t>Number of employees not more than 10</w:t>
      </w:r>
    </w:p>
    <w:p w14:paraId="4B9B3202" w14:textId="0E39A429" w:rsidR="005D5F31" w:rsidRDefault="005D5F31" w:rsidP="00502D18">
      <w:pPr>
        <w:rPr>
          <w:color w:val="2F5496"/>
        </w:rPr>
      </w:pPr>
      <w:r w:rsidRPr="005D5F31">
        <w:rPr>
          <w:rFonts w:ascii="Calibri" w:hAnsi="Calibri" w:cs="Calibri"/>
          <w:color w:val="auto"/>
          <w:sz w:val="22"/>
          <w:szCs w:val="22"/>
        </w:rPr>
        <w:t>More information is available here</w:t>
      </w:r>
      <w:r>
        <w:rPr>
          <w:color w:val="2F5496"/>
        </w:rPr>
        <w:t xml:space="preserve"> </w:t>
      </w:r>
      <w:hyperlink r:id="rId16" w:history="1">
        <w:r w:rsidRPr="00794161">
          <w:rPr>
            <w:rStyle w:val="Hyperlink"/>
            <w:color w:val="0070C0"/>
          </w:rPr>
          <w:t>https://www.legislation.gov.uk/ukpga/2006/46/section/384A</w:t>
        </w:r>
      </w:hyperlink>
      <w:r>
        <w:rPr>
          <w:color w:val="2F5496"/>
        </w:rPr>
        <w:t>.</w:t>
      </w:r>
    </w:p>
    <w:p w14:paraId="2BF1A726" w14:textId="77777777" w:rsidR="006347D2" w:rsidRDefault="006347D2" w:rsidP="00502D18">
      <w:pPr>
        <w:rPr>
          <w:color w:val="2F5496"/>
        </w:rPr>
      </w:pPr>
    </w:p>
    <w:p w14:paraId="2A3F889C" w14:textId="493881D9" w:rsidR="00734872" w:rsidRPr="00794161" w:rsidRDefault="004A1F83" w:rsidP="00734872">
      <w:pPr>
        <w:pStyle w:val="NoSpacing"/>
        <w:rPr>
          <w:rFonts w:ascii="Calibri" w:hAnsi="Calibri" w:cs="Calibri"/>
          <w:sz w:val="22"/>
          <w:szCs w:val="22"/>
        </w:rPr>
      </w:pPr>
      <w:bookmarkStart w:id="15" w:name="_2.3_Location"/>
      <w:bookmarkStart w:id="16" w:name="_Toc152159652"/>
      <w:bookmarkStart w:id="17" w:name="_Toc157694430"/>
      <w:bookmarkEnd w:id="15"/>
      <w:r>
        <w:rPr>
          <w:rFonts w:ascii="Calibri" w:hAnsi="Calibri" w:cs="Calibri"/>
          <w:sz w:val="22"/>
          <w:szCs w:val="22"/>
        </w:rPr>
        <w:t xml:space="preserve">A medium enterprise means </w:t>
      </w:r>
      <w:r w:rsidRPr="00D2132A">
        <w:rPr>
          <w:rFonts w:ascii="Calibri" w:hAnsi="Calibri" w:cs="Calibri"/>
          <w:sz w:val="22"/>
          <w:szCs w:val="22"/>
        </w:rPr>
        <w:t>an enterprise that meets two or more of the qualifying criteria for a m</w:t>
      </w:r>
      <w:r>
        <w:rPr>
          <w:rFonts w:ascii="Calibri" w:hAnsi="Calibri" w:cs="Calibri"/>
          <w:sz w:val="22"/>
          <w:szCs w:val="22"/>
        </w:rPr>
        <w:t>edium</w:t>
      </w:r>
      <w:r w:rsidRPr="00D2132A">
        <w:rPr>
          <w:rFonts w:ascii="Calibri" w:hAnsi="Calibri" w:cs="Calibri"/>
          <w:sz w:val="22"/>
          <w:szCs w:val="22"/>
        </w:rPr>
        <w:t xml:space="preserve"> enterprise,</w:t>
      </w:r>
      <w:r>
        <w:rPr>
          <w:rFonts w:ascii="Calibri" w:hAnsi="Calibri" w:cs="Calibri"/>
          <w:sz w:val="22"/>
          <w:szCs w:val="22"/>
        </w:rPr>
        <w:t xml:space="preserve"> as set out in the Companies Act 2006:</w:t>
      </w:r>
    </w:p>
    <w:p w14:paraId="6268824A" w14:textId="77777777" w:rsidR="00734872" w:rsidRPr="00794161" w:rsidRDefault="00734872" w:rsidP="00734872">
      <w:pPr>
        <w:pStyle w:val="NoSpacing"/>
        <w:numPr>
          <w:ilvl w:val="0"/>
          <w:numId w:val="22"/>
        </w:numPr>
        <w:spacing w:before="0"/>
        <w:rPr>
          <w:rFonts w:ascii="Calibri" w:hAnsi="Calibri" w:cs="Calibri"/>
          <w:sz w:val="22"/>
          <w:szCs w:val="22"/>
        </w:rPr>
      </w:pPr>
      <w:r w:rsidRPr="00794161">
        <w:rPr>
          <w:rFonts w:ascii="Calibri" w:hAnsi="Calibri" w:cs="Calibri"/>
          <w:sz w:val="22"/>
          <w:szCs w:val="22"/>
        </w:rPr>
        <w:t>Turnover not more than £54 million</w:t>
      </w:r>
    </w:p>
    <w:p w14:paraId="5E5B44DF" w14:textId="77777777" w:rsidR="00734872" w:rsidRPr="00794161" w:rsidRDefault="00734872" w:rsidP="00734872">
      <w:pPr>
        <w:pStyle w:val="NoSpacing"/>
        <w:numPr>
          <w:ilvl w:val="0"/>
          <w:numId w:val="22"/>
        </w:numPr>
        <w:spacing w:before="0"/>
        <w:rPr>
          <w:rFonts w:ascii="Calibri" w:hAnsi="Calibri" w:cs="Calibri"/>
          <w:sz w:val="22"/>
          <w:szCs w:val="22"/>
        </w:rPr>
      </w:pPr>
      <w:r w:rsidRPr="00794161">
        <w:rPr>
          <w:rFonts w:ascii="Calibri" w:hAnsi="Calibri" w:cs="Calibri"/>
          <w:sz w:val="22"/>
          <w:szCs w:val="22"/>
        </w:rPr>
        <w:lastRenderedPageBreak/>
        <w:t>Balance sheet total not more than £27 million</w:t>
      </w:r>
    </w:p>
    <w:p w14:paraId="6E6DFFBE" w14:textId="77777777" w:rsidR="00734872" w:rsidRPr="00794161" w:rsidRDefault="00734872" w:rsidP="00734872">
      <w:pPr>
        <w:pStyle w:val="NoSpacing"/>
        <w:numPr>
          <w:ilvl w:val="0"/>
          <w:numId w:val="22"/>
        </w:numPr>
        <w:spacing w:before="0"/>
        <w:rPr>
          <w:rFonts w:ascii="Calibri" w:hAnsi="Calibri" w:cs="Calibri"/>
          <w:sz w:val="22"/>
          <w:szCs w:val="22"/>
        </w:rPr>
      </w:pPr>
      <w:r w:rsidRPr="00794161">
        <w:rPr>
          <w:rFonts w:ascii="Calibri" w:hAnsi="Calibri" w:cs="Calibri"/>
          <w:sz w:val="22"/>
          <w:szCs w:val="22"/>
        </w:rPr>
        <w:t>Number of employees not more than 250</w:t>
      </w:r>
    </w:p>
    <w:p w14:paraId="0CF908F9" w14:textId="77777777" w:rsidR="00734872" w:rsidRPr="00794161" w:rsidRDefault="00734872" w:rsidP="00734872">
      <w:pPr>
        <w:pStyle w:val="NoSpacing"/>
        <w:rPr>
          <w:rFonts w:ascii="Calibri" w:hAnsi="Calibri" w:cs="Calibri"/>
          <w:sz w:val="22"/>
          <w:szCs w:val="22"/>
        </w:rPr>
      </w:pPr>
      <w:r w:rsidRPr="00794161">
        <w:rPr>
          <w:rFonts w:ascii="Calibri" w:hAnsi="Calibri" w:cs="Calibri"/>
          <w:sz w:val="22"/>
          <w:szCs w:val="22"/>
        </w:rPr>
        <w:t xml:space="preserve">See </w:t>
      </w:r>
      <w:hyperlink r:id="rId17" w:history="1">
        <w:r w:rsidRPr="00794161">
          <w:rPr>
            <w:rStyle w:val="Hyperlink"/>
            <w:rFonts w:ascii="Calibri" w:hAnsi="Calibri" w:cs="Calibri"/>
            <w:color w:val="0070C0"/>
            <w:sz w:val="22"/>
            <w:szCs w:val="22"/>
          </w:rPr>
          <w:t>https://www.legislation.gov.uk/ukpga/2006/46/part/15/chapter/12/crossheading/companies-qualifying-as-mediumsized</w:t>
        </w:r>
      </w:hyperlink>
      <w:r w:rsidRPr="00794161">
        <w:rPr>
          <w:rFonts w:ascii="Calibri" w:hAnsi="Calibri" w:cs="Calibri"/>
          <w:sz w:val="22"/>
          <w:szCs w:val="22"/>
        </w:rPr>
        <w:t xml:space="preserve"> for details</w:t>
      </w:r>
    </w:p>
    <w:p w14:paraId="1FD23AD2" w14:textId="1600AE3F" w:rsidR="00482E4A" w:rsidRPr="00C87756" w:rsidRDefault="00482E4A" w:rsidP="00AA6473">
      <w:pPr>
        <w:pStyle w:val="TOC-Sub"/>
        <w:outlineLvl w:val="1"/>
      </w:pPr>
      <w:r>
        <w:t>2.3</w:t>
      </w:r>
      <w:r>
        <w:tab/>
        <w:t>Location</w:t>
      </w:r>
      <w:bookmarkEnd w:id="16"/>
      <w:bookmarkEnd w:id="17"/>
    </w:p>
    <w:p w14:paraId="5F2756CA" w14:textId="0553611D" w:rsidR="00482E4A" w:rsidRPr="00D2132A" w:rsidRDefault="00C20406" w:rsidP="00482E4A">
      <w:pPr>
        <w:jc w:val="both"/>
        <w:rPr>
          <w:rFonts w:ascii="Calibri" w:hAnsi="Calibri" w:cs="Calibri"/>
          <w:i/>
          <w:iCs/>
          <w:color w:val="auto"/>
          <w:sz w:val="22"/>
          <w:szCs w:val="22"/>
        </w:rPr>
      </w:pPr>
      <w:r w:rsidRPr="00C20406">
        <w:rPr>
          <w:rFonts w:ascii="Calibri" w:hAnsi="Calibri" w:cs="Calibri"/>
          <w:color w:val="auto"/>
          <w:sz w:val="22"/>
          <w:szCs w:val="22"/>
          <w:lang w:val="en-US"/>
        </w:rPr>
        <w:t xml:space="preserve">Small and Medium-sized Enterprises (SMEs) </w:t>
      </w:r>
      <w:r w:rsidR="003B2BC6" w:rsidRPr="00D2132A">
        <w:rPr>
          <w:rFonts w:ascii="Calibri" w:hAnsi="Calibri" w:cs="Calibri"/>
          <w:color w:val="auto"/>
          <w:sz w:val="22"/>
          <w:szCs w:val="22"/>
        </w:rPr>
        <w:t>in the areas previously covered by the former Eden</w:t>
      </w:r>
      <w:r w:rsidR="00A90A93" w:rsidRPr="00D627C0">
        <w:rPr>
          <w:rFonts w:ascii="Calibri" w:hAnsi="Calibri" w:cs="Calibri"/>
          <w:color w:val="auto"/>
          <w:sz w:val="22"/>
          <w:szCs w:val="22"/>
        </w:rPr>
        <w:t>, Barrow</w:t>
      </w:r>
      <w:r w:rsidR="003B2BC6" w:rsidRPr="00D2132A">
        <w:rPr>
          <w:rFonts w:ascii="Calibri" w:hAnsi="Calibri" w:cs="Calibri"/>
          <w:color w:val="auto"/>
          <w:sz w:val="22"/>
          <w:szCs w:val="22"/>
        </w:rPr>
        <w:t xml:space="preserve"> and South Lakeland District Councils </w:t>
      </w:r>
      <w:r w:rsidR="00482E4A" w:rsidRPr="00D2132A">
        <w:rPr>
          <w:rFonts w:ascii="Calibri" w:hAnsi="Calibri" w:cs="Calibri"/>
          <w:color w:val="auto"/>
          <w:sz w:val="22"/>
          <w:szCs w:val="22"/>
        </w:rPr>
        <w:t xml:space="preserve">are eligible to apply. </w:t>
      </w:r>
    </w:p>
    <w:p w14:paraId="03396EAF" w14:textId="4EB01149" w:rsidR="00482E4A" w:rsidRPr="00D2132A" w:rsidRDefault="00482E4A" w:rsidP="00AA6473">
      <w:pPr>
        <w:pStyle w:val="TOC-Sub"/>
        <w:outlineLvl w:val="1"/>
        <w:rPr>
          <w:color w:val="auto"/>
        </w:rPr>
      </w:pPr>
      <w:bookmarkStart w:id="18" w:name="_2.4_Sectors"/>
      <w:bookmarkStart w:id="19" w:name="_Toc152159653"/>
      <w:bookmarkStart w:id="20" w:name="_Toc157694431"/>
      <w:bookmarkEnd w:id="18"/>
      <w:r w:rsidRPr="00D2132A">
        <w:rPr>
          <w:color w:val="auto"/>
        </w:rPr>
        <w:t>2.4</w:t>
      </w:r>
      <w:r w:rsidRPr="00D2132A">
        <w:rPr>
          <w:color w:val="auto"/>
        </w:rPr>
        <w:tab/>
        <w:t>Sectors</w:t>
      </w:r>
      <w:bookmarkEnd w:id="19"/>
      <w:bookmarkEnd w:id="20"/>
    </w:p>
    <w:p w14:paraId="2A2872D6" w14:textId="12C74623" w:rsidR="00482E4A" w:rsidRPr="00D2132A" w:rsidRDefault="00482E4A" w:rsidP="00482E4A">
      <w:pPr>
        <w:pStyle w:val="Bulletedtextlevel2"/>
        <w:numPr>
          <w:ilvl w:val="0"/>
          <w:numId w:val="0"/>
        </w:numPr>
        <w:jc w:val="both"/>
        <w:rPr>
          <w:rFonts w:ascii="Calibri" w:hAnsi="Calibri" w:cs="Calibri"/>
          <w:color w:val="auto"/>
          <w:sz w:val="22"/>
          <w:szCs w:val="22"/>
        </w:rPr>
      </w:pPr>
      <w:r w:rsidRPr="00D2132A">
        <w:rPr>
          <w:rFonts w:ascii="Calibri" w:hAnsi="Calibri" w:cs="Calibri"/>
          <w:color w:val="auto"/>
          <w:sz w:val="22"/>
          <w:szCs w:val="22"/>
        </w:rPr>
        <w:t>Grants are available to businesses in all sectors</w:t>
      </w:r>
      <w:r w:rsidR="00C367ED">
        <w:rPr>
          <w:rFonts w:ascii="Calibri" w:hAnsi="Calibri" w:cs="Calibri"/>
          <w:color w:val="auto"/>
          <w:sz w:val="22"/>
          <w:szCs w:val="22"/>
        </w:rPr>
        <w:t>.</w:t>
      </w:r>
      <w:r w:rsidRPr="00D2132A">
        <w:rPr>
          <w:rFonts w:ascii="Calibri" w:hAnsi="Calibri" w:cs="Calibri"/>
          <w:color w:val="auto"/>
          <w:sz w:val="22"/>
          <w:szCs w:val="22"/>
        </w:rPr>
        <w:t xml:space="preserve"> </w:t>
      </w:r>
    </w:p>
    <w:p w14:paraId="7E21D681" w14:textId="77013DA2" w:rsidR="00482E4A" w:rsidRPr="00D2132A" w:rsidRDefault="00482E4A" w:rsidP="00AA6473">
      <w:pPr>
        <w:pStyle w:val="TOC-Sub"/>
        <w:outlineLvl w:val="1"/>
        <w:rPr>
          <w:color w:val="auto"/>
        </w:rPr>
      </w:pPr>
      <w:bookmarkStart w:id="21" w:name="_2.5_Activity"/>
      <w:bookmarkStart w:id="22" w:name="_Toc152159654"/>
      <w:bookmarkStart w:id="23" w:name="_Toc157694432"/>
      <w:bookmarkEnd w:id="21"/>
      <w:r w:rsidRPr="00D2132A">
        <w:rPr>
          <w:color w:val="auto"/>
        </w:rPr>
        <w:t>2.5</w:t>
      </w:r>
      <w:r w:rsidRPr="00D2132A">
        <w:rPr>
          <w:color w:val="auto"/>
        </w:rPr>
        <w:tab/>
        <w:t>Activity</w:t>
      </w:r>
      <w:bookmarkEnd w:id="22"/>
      <w:bookmarkEnd w:id="23"/>
    </w:p>
    <w:p w14:paraId="732F0068" w14:textId="4BA1F080" w:rsidR="00482E4A" w:rsidRPr="00D2132A" w:rsidRDefault="00482E4A" w:rsidP="00482E4A">
      <w:pPr>
        <w:pStyle w:val="Bodycopy"/>
        <w:jc w:val="both"/>
        <w:rPr>
          <w:rFonts w:ascii="Calibri" w:hAnsi="Calibri" w:cs="Calibri"/>
          <w:color w:val="auto"/>
          <w:sz w:val="22"/>
          <w:szCs w:val="22"/>
        </w:rPr>
      </w:pPr>
      <w:r w:rsidRPr="00D2132A">
        <w:rPr>
          <w:rFonts w:ascii="Calibri" w:hAnsi="Calibri" w:cs="Calibri"/>
          <w:color w:val="auto"/>
          <w:sz w:val="22"/>
          <w:szCs w:val="22"/>
        </w:rPr>
        <w:t xml:space="preserve">All projects should contribute positive benefits to the business and the economy. The impact of the proposed investment on other businesses </w:t>
      </w:r>
      <w:r w:rsidR="00B21C8B" w:rsidRPr="00D2132A">
        <w:rPr>
          <w:rFonts w:ascii="Calibri" w:hAnsi="Calibri" w:cs="Calibri"/>
          <w:color w:val="auto"/>
          <w:sz w:val="22"/>
          <w:szCs w:val="22"/>
        </w:rPr>
        <w:t>will</w:t>
      </w:r>
      <w:r w:rsidRPr="00D2132A">
        <w:rPr>
          <w:rFonts w:ascii="Calibri" w:hAnsi="Calibri" w:cs="Calibri"/>
          <w:color w:val="auto"/>
          <w:sz w:val="22"/>
          <w:szCs w:val="22"/>
        </w:rPr>
        <w:t xml:space="preserve"> be considered during the assessment of any application for </w:t>
      </w:r>
      <w:r w:rsidR="00E20D62">
        <w:rPr>
          <w:rFonts w:ascii="Calibri" w:hAnsi="Calibri" w:cs="Calibri"/>
          <w:color w:val="auto"/>
          <w:sz w:val="22"/>
          <w:szCs w:val="22"/>
        </w:rPr>
        <w:t>UK SPF</w:t>
      </w:r>
      <w:r w:rsidRPr="00D2132A">
        <w:rPr>
          <w:rFonts w:ascii="Calibri" w:hAnsi="Calibri" w:cs="Calibri"/>
          <w:color w:val="auto"/>
          <w:sz w:val="22"/>
          <w:szCs w:val="22"/>
        </w:rPr>
        <w:t xml:space="preserve"> Business Grant support. </w:t>
      </w:r>
    </w:p>
    <w:p w14:paraId="6D2F8532" w14:textId="77777777" w:rsidR="00482E4A" w:rsidRPr="00D2132A" w:rsidRDefault="00482E4A" w:rsidP="00482E4A">
      <w:pPr>
        <w:pStyle w:val="Bodycopy"/>
        <w:jc w:val="both"/>
        <w:rPr>
          <w:rFonts w:ascii="Calibri" w:hAnsi="Calibri" w:cs="Calibri"/>
          <w:color w:val="auto"/>
          <w:sz w:val="22"/>
          <w:szCs w:val="22"/>
        </w:rPr>
      </w:pPr>
    </w:p>
    <w:p w14:paraId="1F7F25DE" w14:textId="02DFDEC6" w:rsidR="00482E4A" w:rsidRPr="00D2132A" w:rsidRDefault="00482E4A" w:rsidP="00482E4A">
      <w:pPr>
        <w:pStyle w:val="Bodycopy"/>
        <w:jc w:val="both"/>
        <w:rPr>
          <w:rFonts w:ascii="Calibri" w:hAnsi="Calibri" w:cs="Calibri"/>
          <w:color w:val="auto"/>
          <w:sz w:val="22"/>
          <w:szCs w:val="22"/>
        </w:rPr>
      </w:pPr>
      <w:r w:rsidRPr="00D2132A">
        <w:rPr>
          <w:rFonts w:ascii="Calibri" w:hAnsi="Calibri" w:cs="Calibri"/>
          <w:color w:val="auto"/>
          <w:sz w:val="22"/>
          <w:szCs w:val="22"/>
        </w:rPr>
        <w:t>The factors taken into consideration include the income generated directly by a project, export and/or re-shoring activity, the displacement effects on other businesses and the wider benefits to the competitiveness of the economy at large. Relocation projects qualify for support where the relocation involves expansion and creation of jobs new to the UK.</w:t>
      </w:r>
    </w:p>
    <w:p w14:paraId="6BDC6CDE" w14:textId="7178139E" w:rsidR="00482E4A" w:rsidRPr="00D2132A" w:rsidRDefault="00EE05AE" w:rsidP="00AA6473">
      <w:pPr>
        <w:pStyle w:val="TOC-Sub"/>
        <w:outlineLvl w:val="1"/>
        <w:rPr>
          <w:color w:val="auto"/>
        </w:rPr>
      </w:pPr>
      <w:bookmarkStart w:id="24" w:name="_2.6_Expected_Delivery"/>
      <w:bookmarkStart w:id="25" w:name="_Toc152159655"/>
      <w:bookmarkStart w:id="26" w:name="_Toc157694433"/>
      <w:bookmarkEnd w:id="24"/>
      <w:r w:rsidRPr="00D2132A">
        <w:rPr>
          <w:color w:val="auto"/>
        </w:rPr>
        <w:t>2.6</w:t>
      </w:r>
      <w:r w:rsidR="00482E4A" w:rsidRPr="00D2132A">
        <w:rPr>
          <w:color w:val="auto"/>
        </w:rPr>
        <w:tab/>
        <w:t>Expected Delivery of Required Outputs and Outcomes</w:t>
      </w:r>
      <w:bookmarkEnd w:id="25"/>
      <w:bookmarkEnd w:id="26"/>
    </w:p>
    <w:p w14:paraId="02497BD6" w14:textId="615E1AFC" w:rsidR="00482E4A" w:rsidRPr="00D2132A" w:rsidRDefault="00482E4A" w:rsidP="00482E4A">
      <w:pPr>
        <w:pStyle w:val="Bodycopy"/>
        <w:rPr>
          <w:rFonts w:ascii="Calibri" w:hAnsi="Calibri" w:cs="Calibri"/>
          <w:color w:val="auto"/>
          <w:sz w:val="22"/>
          <w:szCs w:val="22"/>
        </w:rPr>
      </w:pPr>
      <w:r w:rsidRPr="00D2132A">
        <w:rPr>
          <w:rFonts w:ascii="Calibri" w:hAnsi="Calibri" w:cs="Calibri"/>
          <w:color w:val="auto"/>
          <w:sz w:val="22"/>
          <w:szCs w:val="22"/>
        </w:rPr>
        <w:t>There must be reasonable expectation of delivering outputs and outcomes required by the project funder (see</w:t>
      </w:r>
      <w:r w:rsidR="007326FA" w:rsidRPr="00D2132A">
        <w:rPr>
          <w:rFonts w:ascii="Calibri" w:hAnsi="Calibri" w:cs="Calibri"/>
          <w:color w:val="auto"/>
          <w:sz w:val="22"/>
          <w:szCs w:val="22"/>
        </w:rPr>
        <w:t xml:space="preserve"> 5.0</w:t>
      </w:r>
      <w:r w:rsidRPr="00D2132A">
        <w:rPr>
          <w:rFonts w:ascii="Calibri" w:hAnsi="Calibri" w:cs="Calibri"/>
          <w:color w:val="auto"/>
          <w:sz w:val="22"/>
          <w:szCs w:val="22"/>
        </w:rPr>
        <w:t xml:space="preserve"> below).</w:t>
      </w:r>
    </w:p>
    <w:p w14:paraId="58206588" w14:textId="1F579951" w:rsidR="00482E4A" w:rsidRPr="00D2132A" w:rsidRDefault="00EE05AE" w:rsidP="00AA6473">
      <w:pPr>
        <w:pStyle w:val="TOC-Sub"/>
        <w:outlineLvl w:val="1"/>
        <w:rPr>
          <w:color w:val="auto"/>
        </w:rPr>
      </w:pPr>
      <w:bookmarkStart w:id="27" w:name="_2.7_Project_Costs"/>
      <w:bookmarkStart w:id="28" w:name="_Toc152159656"/>
      <w:bookmarkStart w:id="29" w:name="_Toc157694434"/>
      <w:bookmarkEnd w:id="27"/>
      <w:r w:rsidRPr="00D2132A">
        <w:rPr>
          <w:color w:val="auto"/>
        </w:rPr>
        <w:t>2.7</w:t>
      </w:r>
      <w:r w:rsidR="00482E4A" w:rsidRPr="00D2132A">
        <w:rPr>
          <w:color w:val="auto"/>
        </w:rPr>
        <w:tab/>
        <w:t>Project Costs</w:t>
      </w:r>
      <w:bookmarkEnd w:id="28"/>
      <w:bookmarkEnd w:id="29"/>
    </w:p>
    <w:p w14:paraId="6DE3F35D" w14:textId="77777777" w:rsidR="00482E4A" w:rsidRPr="00D2132A" w:rsidRDefault="00482E4A" w:rsidP="00482E4A">
      <w:pPr>
        <w:pStyle w:val="Bodycopy"/>
        <w:jc w:val="both"/>
        <w:rPr>
          <w:rFonts w:ascii="Calibri" w:hAnsi="Calibri" w:cs="Calibri"/>
          <w:color w:val="auto"/>
          <w:sz w:val="22"/>
          <w:szCs w:val="22"/>
        </w:rPr>
      </w:pPr>
      <w:r w:rsidRPr="00D2132A">
        <w:rPr>
          <w:rFonts w:ascii="Calibri" w:hAnsi="Calibri" w:cs="Calibri"/>
          <w:color w:val="auto"/>
          <w:sz w:val="22"/>
          <w:szCs w:val="22"/>
        </w:rPr>
        <w:t>Capital expenditure only is eligible. No revenue costs can be supported, or included in the grant calculation.</w:t>
      </w:r>
    </w:p>
    <w:p w14:paraId="5CFC2946" w14:textId="77777777" w:rsidR="00482E4A" w:rsidRPr="00D2132A" w:rsidRDefault="00482E4A" w:rsidP="00482E4A">
      <w:pPr>
        <w:pStyle w:val="Bodycopy"/>
        <w:jc w:val="both"/>
        <w:rPr>
          <w:rFonts w:ascii="Calibri" w:hAnsi="Calibri" w:cs="Calibri"/>
          <w:color w:val="auto"/>
          <w:sz w:val="22"/>
          <w:szCs w:val="22"/>
        </w:rPr>
      </w:pPr>
    </w:p>
    <w:p w14:paraId="50C8513F" w14:textId="39F021FA" w:rsidR="00482E4A" w:rsidRPr="00D2132A" w:rsidRDefault="00482E4A" w:rsidP="00482E4A">
      <w:pPr>
        <w:pStyle w:val="Bodycopy"/>
        <w:jc w:val="both"/>
        <w:rPr>
          <w:rFonts w:ascii="Calibri" w:hAnsi="Calibri" w:cs="Calibri"/>
          <w:color w:val="auto"/>
          <w:sz w:val="22"/>
          <w:szCs w:val="22"/>
        </w:rPr>
      </w:pPr>
      <w:r w:rsidRPr="00D2132A">
        <w:rPr>
          <w:rFonts w:ascii="Calibri" w:hAnsi="Calibri" w:cs="Calibri"/>
          <w:color w:val="auto"/>
          <w:sz w:val="22"/>
          <w:szCs w:val="22"/>
        </w:rPr>
        <w:t>Projects can cover purchase of equipment and small scale capital improvements to help grow, diversify, innovate and improve productivity. This support includes agricultural transition and farm diversification.</w:t>
      </w:r>
    </w:p>
    <w:p w14:paraId="2FE1D087" w14:textId="77777777" w:rsidR="00482E4A" w:rsidRPr="00D2132A" w:rsidRDefault="00482E4A" w:rsidP="00482E4A">
      <w:pPr>
        <w:pStyle w:val="Bodycopy"/>
        <w:jc w:val="both"/>
        <w:rPr>
          <w:rFonts w:ascii="Calibri" w:hAnsi="Calibri" w:cs="Calibri"/>
          <w:color w:val="auto"/>
          <w:sz w:val="22"/>
          <w:szCs w:val="22"/>
        </w:rPr>
      </w:pPr>
    </w:p>
    <w:p w14:paraId="374F4E1B" w14:textId="3654B8EE" w:rsidR="000219F6" w:rsidRPr="00D2132A" w:rsidRDefault="000219F6" w:rsidP="00482E4A">
      <w:pPr>
        <w:pStyle w:val="Bodycopy"/>
        <w:jc w:val="both"/>
        <w:rPr>
          <w:rFonts w:ascii="Calibri" w:hAnsi="Calibri" w:cs="Calibri"/>
          <w:color w:val="auto"/>
          <w:sz w:val="22"/>
          <w:szCs w:val="22"/>
        </w:rPr>
      </w:pPr>
      <w:r w:rsidRPr="00D2132A">
        <w:rPr>
          <w:rFonts w:ascii="Calibri" w:hAnsi="Calibri" w:cs="Calibri"/>
          <w:color w:val="auto"/>
          <w:sz w:val="22"/>
          <w:szCs w:val="22"/>
        </w:rPr>
        <w:t>Only irrecoverable VAT can be considered an eligible cost. If the applicant is VAT registered</w:t>
      </w:r>
      <w:r w:rsidR="00397A11" w:rsidRPr="00D2132A">
        <w:rPr>
          <w:rFonts w:ascii="Calibri" w:hAnsi="Calibri" w:cs="Calibri"/>
          <w:color w:val="auto"/>
          <w:sz w:val="22"/>
          <w:szCs w:val="22"/>
        </w:rPr>
        <w:t>,</w:t>
      </w:r>
      <w:r w:rsidRPr="00D2132A">
        <w:rPr>
          <w:rFonts w:ascii="Calibri" w:hAnsi="Calibri" w:cs="Calibri"/>
          <w:color w:val="auto"/>
          <w:sz w:val="22"/>
          <w:szCs w:val="22"/>
        </w:rPr>
        <w:t xml:space="preserve"> costs will be considered exclusive of VAT.</w:t>
      </w:r>
    </w:p>
    <w:p w14:paraId="3DC7B9FE" w14:textId="77777777" w:rsidR="000219F6" w:rsidRPr="00D2132A" w:rsidRDefault="000219F6" w:rsidP="00482E4A">
      <w:pPr>
        <w:pStyle w:val="Bodycopy"/>
        <w:jc w:val="both"/>
        <w:rPr>
          <w:rFonts w:ascii="Calibri" w:hAnsi="Calibri" w:cs="Calibri"/>
          <w:color w:val="auto"/>
          <w:sz w:val="22"/>
          <w:szCs w:val="22"/>
        </w:rPr>
      </w:pPr>
    </w:p>
    <w:p w14:paraId="0509A170" w14:textId="77777777" w:rsidR="00482E4A" w:rsidRPr="00D2132A" w:rsidRDefault="00482E4A" w:rsidP="00482E4A">
      <w:pPr>
        <w:pStyle w:val="Bodycopy"/>
        <w:jc w:val="both"/>
        <w:rPr>
          <w:rFonts w:ascii="Calibri" w:hAnsi="Calibri" w:cs="Calibri"/>
          <w:color w:val="auto"/>
          <w:sz w:val="22"/>
          <w:szCs w:val="22"/>
        </w:rPr>
      </w:pPr>
      <w:r w:rsidRPr="00D2132A">
        <w:rPr>
          <w:rFonts w:ascii="Calibri" w:hAnsi="Calibri" w:cs="Calibri"/>
          <w:color w:val="auto"/>
          <w:sz w:val="22"/>
          <w:szCs w:val="22"/>
        </w:rPr>
        <w:t>Assistance can be provided for the purchase of the assets or, if appropriate, the business of another company in receivership or liquidation, where it is clear that there is only one realistic bidder. Such assistance can also be provided if there is a clear and imminent threat to employment even if the business in question is not in receivership or liquidation. These circumstances apart, assistance should not be provided to one company in order that it might take over another company.</w:t>
      </w:r>
    </w:p>
    <w:p w14:paraId="5D8309B9" w14:textId="77777777" w:rsidR="00482E4A" w:rsidRPr="00D2132A" w:rsidRDefault="00482E4A" w:rsidP="00482E4A">
      <w:pPr>
        <w:pStyle w:val="Bodycopy"/>
        <w:rPr>
          <w:color w:val="auto"/>
        </w:rPr>
      </w:pPr>
    </w:p>
    <w:p w14:paraId="0718D55A" w14:textId="39C6164F" w:rsidR="00482E4A" w:rsidRPr="00D2132A" w:rsidRDefault="00482E4A" w:rsidP="00482E4A">
      <w:pPr>
        <w:pStyle w:val="Bodycopy"/>
        <w:jc w:val="both"/>
        <w:rPr>
          <w:rFonts w:ascii="Calibri" w:hAnsi="Calibri" w:cs="Calibri"/>
          <w:color w:val="auto"/>
          <w:sz w:val="22"/>
          <w:szCs w:val="22"/>
        </w:rPr>
      </w:pPr>
      <w:r w:rsidRPr="00D2132A">
        <w:rPr>
          <w:rFonts w:ascii="Calibri" w:hAnsi="Calibri" w:cs="Calibri"/>
          <w:color w:val="auto"/>
          <w:sz w:val="22"/>
          <w:szCs w:val="22"/>
        </w:rPr>
        <w:t xml:space="preserve">To be considered eligible costs for the purposes of the </w:t>
      </w:r>
      <w:r w:rsidR="00E20D62">
        <w:rPr>
          <w:rFonts w:ascii="Calibri" w:hAnsi="Calibri" w:cs="Calibri"/>
          <w:color w:val="auto"/>
          <w:sz w:val="22"/>
          <w:szCs w:val="22"/>
        </w:rPr>
        <w:t>UK SPF</w:t>
      </w:r>
      <w:r w:rsidRPr="00D2132A">
        <w:rPr>
          <w:rFonts w:ascii="Calibri" w:hAnsi="Calibri" w:cs="Calibri"/>
          <w:color w:val="auto"/>
          <w:sz w:val="22"/>
          <w:szCs w:val="22"/>
        </w:rPr>
        <w:t xml:space="preserve"> Business Grant tangible or intangible assets must be purchased from third parties under market conditions, without the acquirer being in a position to exercise control on the seller or vice versa. Self-built assets, or newly built assets acquired from other companies within the same group are considered to fulfil the conditions of this paragraph if the assets are independently valued. </w:t>
      </w:r>
    </w:p>
    <w:p w14:paraId="5EBD9AAF" w14:textId="77777777" w:rsidR="00482E4A" w:rsidRPr="00D2132A" w:rsidRDefault="00482E4A" w:rsidP="00482E4A">
      <w:pPr>
        <w:pStyle w:val="Bodycopy"/>
        <w:jc w:val="both"/>
        <w:rPr>
          <w:color w:val="auto"/>
        </w:rPr>
      </w:pPr>
    </w:p>
    <w:p w14:paraId="2AE4263C" w14:textId="1FC5CB02" w:rsidR="00482E4A" w:rsidRPr="00D2132A" w:rsidRDefault="00482E4A" w:rsidP="00482E4A">
      <w:pPr>
        <w:pStyle w:val="Bodycopy"/>
        <w:jc w:val="both"/>
        <w:rPr>
          <w:rFonts w:ascii="Calibri" w:hAnsi="Calibri" w:cs="Calibri"/>
          <w:color w:val="auto"/>
          <w:sz w:val="22"/>
          <w:szCs w:val="22"/>
        </w:rPr>
      </w:pPr>
      <w:r w:rsidRPr="00D2132A">
        <w:rPr>
          <w:rFonts w:ascii="Calibri" w:hAnsi="Calibri" w:cs="Calibri"/>
          <w:color w:val="auto"/>
          <w:sz w:val="22"/>
          <w:szCs w:val="22"/>
        </w:rPr>
        <w:t xml:space="preserve">In the case of the acquisition of an establishment, only the costs of buying assets from third parties </w:t>
      </w:r>
      <w:r w:rsidR="00397A11" w:rsidRPr="00D2132A">
        <w:rPr>
          <w:rFonts w:ascii="Calibri" w:hAnsi="Calibri" w:cs="Calibri"/>
          <w:color w:val="auto"/>
          <w:sz w:val="22"/>
          <w:szCs w:val="22"/>
        </w:rPr>
        <w:t>will</w:t>
      </w:r>
      <w:r w:rsidRPr="00D2132A">
        <w:rPr>
          <w:rFonts w:ascii="Calibri" w:hAnsi="Calibri" w:cs="Calibri"/>
          <w:color w:val="auto"/>
          <w:sz w:val="22"/>
          <w:szCs w:val="22"/>
        </w:rPr>
        <w:t xml:space="preserve"> be taken into consideration, and only where the transaction has taken place under market conditions. If aid has been granted </w:t>
      </w:r>
      <w:r w:rsidRPr="00D2132A">
        <w:rPr>
          <w:rFonts w:ascii="Calibri" w:hAnsi="Calibri" w:cs="Calibri"/>
          <w:color w:val="auto"/>
          <w:sz w:val="22"/>
          <w:szCs w:val="22"/>
        </w:rPr>
        <w:lastRenderedPageBreak/>
        <w:t xml:space="preserve">for the acquisition of assets prior to their purchase, the costs of those assets </w:t>
      </w:r>
      <w:r w:rsidR="00B41A49" w:rsidRPr="00D2132A">
        <w:rPr>
          <w:rFonts w:ascii="Calibri" w:hAnsi="Calibri" w:cs="Calibri"/>
          <w:color w:val="auto"/>
          <w:sz w:val="22"/>
          <w:szCs w:val="22"/>
        </w:rPr>
        <w:t>will</w:t>
      </w:r>
      <w:r w:rsidRPr="00D2132A">
        <w:rPr>
          <w:rFonts w:ascii="Calibri" w:hAnsi="Calibri" w:cs="Calibri"/>
          <w:color w:val="auto"/>
          <w:sz w:val="22"/>
          <w:szCs w:val="22"/>
        </w:rPr>
        <w:t xml:space="preserve"> be deducted from the eligible costs related to the acquisition of the establishment.</w:t>
      </w:r>
    </w:p>
    <w:p w14:paraId="0D9B8C8A" w14:textId="77777777" w:rsidR="00482E4A" w:rsidRPr="00D2132A" w:rsidRDefault="00482E4A" w:rsidP="00482E4A">
      <w:pPr>
        <w:pStyle w:val="Bodycopy"/>
        <w:rPr>
          <w:color w:val="auto"/>
        </w:rPr>
      </w:pPr>
    </w:p>
    <w:p w14:paraId="63CB5F7B" w14:textId="7A313008" w:rsidR="00482E4A" w:rsidRPr="00D2132A" w:rsidRDefault="00482E4A" w:rsidP="00482E4A">
      <w:pPr>
        <w:pStyle w:val="Bodycopy"/>
        <w:jc w:val="both"/>
        <w:rPr>
          <w:rFonts w:ascii="Calibri" w:hAnsi="Calibri" w:cs="Calibri"/>
          <w:color w:val="auto"/>
          <w:sz w:val="22"/>
          <w:szCs w:val="22"/>
        </w:rPr>
      </w:pPr>
      <w:r w:rsidRPr="00D2132A">
        <w:rPr>
          <w:rFonts w:ascii="Calibri" w:hAnsi="Calibri" w:cs="Calibri"/>
          <w:color w:val="auto"/>
          <w:sz w:val="22"/>
          <w:szCs w:val="22"/>
        </w:rPr>
        <w:t xml:space="preserve">Costs related to the acquisition of assets under lease, other than land and buildings, </w:t>
      </w:r>
      <w:r w:rsidR="00B41A49" w:rsidRPr="00D2132A">
        <w:rPr>
          <w:rFonts w:ascii="Calibri" w:hAnsi="Calibri" w:cs="Calibri"/>
          <w:color w:val="auto"/>
          <w:sz w:val="22"/>
          <w:szCs w:val="22"/>
        </w:rPr>
        <w:t>will</w:t>
      </w:r>
      <w:r w:rsidRPr="00D2132A">
        <w:rPr>
          <w:rFonts w:ascii="Calibri" w:hAnsi="Calibri" w:cs="Calibri"/>
          <w:color w:val="auto"/>
          <w:sz w:val="22"/>
          <w:szCs w:val="22"/>
        </w:rPr>
        <w:t xml:space="preserve"> only be taken into consideration if the lease takes the form of financial leasing and contains an obligation to purchase the asset at the expiry of the term of the lease. For clarity, Hire Purchase (“HP”) agreements which include an option to purchase the asset at the end of the term will be eligible providing the applicant confirms that they will pay the option to purchase fee. </w:t>
      </w:r>
      <w:r w:rsidR="0074472C" w:rsidRPr="00D2132A">
        <w:rPr>
          <w:rFonts w:ascii="Calibri" w:hAnsi="Calibri" w:cs="Calibri"/>
          <w:color w:val="auto"/>
          <w:sz w:val="22"/>
          <w:szCs w:val="22"/>
        </w:rPr>
        <w:t>Land and building leases with related parties will not be eligible.</w:t>
      </w:r>
    </w:p>
    <w:p w14:paraId="28AC4CA1" w14:textId="77777777" w:rsidR="002B3398" w:rsidRPr="00D2132A" w:rsidRDefault="002B3398" w:rsidP="00482E4A">
      <w:pPr>
        <w:pStyle w:val="Bodycopy"/>
        <w:jc w:val="both"/>
        <w:rPr>
          <w:rFonts w:ascii="Calibri" w:hAnsi="Calibri" w:cs="Calibri"/>
          <w:color w:val="auto"/>
          <w:sz w:val="22"/>
          <w:szCs w:val="22"/>
        </w:rPr>
      </w:pPr>
    </w:p>
    <w:p w14:paraId="0C1ADBDC" w14:textId="5FDDDC48" w:rsidR="00482E4A" w:rsidRPr="00D2132A" w:rsidRDefault="00482E4A" w:rsidP="00482E4A">
      <w:pPr>
        <w:pStyle w:val="Bodycopy"/>
        <w:jc w:val="both"/>
        <w:rPr>
          <w:rFonts w:ascii="Calibri" w:hAnsi="Calibri" w:cs="Calibri"/>
          <w:color w:val="auto"/>
          <w:sz w:val="22"/>
          <w:szCs w:val="56"/>
        </w:rPr>
      </w:pPr>
      <w:r w:rsidRPr="00D2132A">
        <w:rPr>
          <w:rFonts w:ascii="Calibri" w:hAnsi="Calibri" w:cs="Calibri"/>
          <w:color w:val="auto"/>
          <w:sz w:val="22"/>
          <w:szCs w:val="56"/>
        </w:rPr>
        <w:t xml:space="preserve">The investment must be maintained in the project area </w:t>
      </w:r>
      <w:r w:rsidR="00336F5F" w:rsidRPr="00D2132A">
        <w:rPr>
          <w:rFonts w:ascii="Calibri" w:hAnsi="Calibri" w:cs="Calibri"/>
          <w:color w:val="auto"/>
          <w:sz w:val="22"/>
          <w:szCs w:val="56"/>
        </w:rPr>
        <w:t>until at least</w:t>
      </w:r>
      <w:r w:rsidR="003B2BC6" w:rsidRPr="00D2132A">
        <w:rPr>
          <w:rFonts w:ascii="Calibri" w:hAnsi="Calibri" w:cs="Calibri"/>
          <w:color w:val="auto"/>
          <w:sz w:val="22"/>
          <w:szCs w:val="56"/>
        </w:rPr>
        <w:t xml:space="preserve"> 30</w:t>
      </w:r>
      <w:r w:rsidR="003B2BC6" w:rsidRPr="00D2132A">
        <w:rPr>
          <w:rFonts w:ascii="Calibri" w:hAnsi="Calibri" w:cs="Calibri"/>
          <w:color w:val="auto"/>
          <w:sz w:val="22"/>
          <w:szCs w:val="56"/>
          <w:vertAlign w:val="superscript"/>
        </w:rPr>
        <w:t>th</w:t>
      </w:r>
      <w:r w:rsidR="003B2BC6" w:rsidRPr="00D2132A">
        <w:rPr>
          <w:rFonts w:ascii="Calibri" w:hAnsi="Calibri" w:cs="Calibri"/>
          <w:color w:val="auto"/>
          <w:sz w:val="22"/>
          <w:szCs w:val="56"/>
        </w:rPr>
        <w:t xml:space="preserve"> June </w:t>
      </w:r>
      <w:r w:rsidR="003B2BC6" w:rsidRPr="00D627C0">
        <w:rPr>
          <w:rFonts w:ascii="Calibri" w:hAnsi="Calibri" w:cs="Calibri"/>
          <w:color w:val="auto"/>
          <w:sz w:val="22"/>
          <w:szCs w:val="56"/>
        </w:rPr>
        <w:t>202</w:t>
      </w:r>
      <w:r w:rsidR="00E20D62" w:rsidRPr="00D627C0">
        <w:rPr>
          <w:rFonts w:ascii="Calibri" w:hAnsi="Calibri" w:cs="Calibri"/>
          <w:color w:val="auto"/>
          <w:sz w:val="22"/>
          <w:szCs w:val="56"/>
        </w:rPr>
        <w:t>7</w:t>
      </w:r>
      <w:r w:rsidRPr="00D2132A">
        <w:rPr>
          <w:rFonts w:ascii="Calibri" w:hAnsi="Calibri" w:cs="Calibri"/>
          <w:color w:val="auto"/>
          <w:sz w:val="22"/>
          <w:szCs w:val="56"/>
        </w:rPr>
        <w:t xml:space="preserve">. This </w:t>
      </w:r>
      <w:r w:rsidR="00501D05" w:rsidRPr="00D2132A">
        <w:rPr>
          <w:rFonts w:ascii="Calibri" w:hAnsi="Calibri" w:cs="Calibri"/>
          <w:color w:val="auto"/>
          <w:sz w:val="22"/>
          <w:szCs w:val="56"/>
        </w:rPr>
        <w:t>will</w:t>
      </w:r>
      <w:r w:rsidRPr="00D2132A">
        <w:rPr>
          <w:rFonts w:ascii="Calibri" w:hAnsi="Calibri" w:cs="Calibri"/>
          <w:color w:val="auto"/>
          <w:sz w:val="22"/>
          <w:szCs w:val="56"/>
        </w:rPr>
        <w:t xml:space="preserve"> not prevent the replacement of plant or equipment that has become outdated due to rapid technological change, provided that the economic activity is retained in the region for the minimum period.</w:t>
      </w:r>
    </w:p>
    <w:p w14:paraId="7D714928" w14:textId="77777777" w:rsidR="00482E4A" w:rsidRPr="00D2132A" w:rsidRDefault="00482E4A" w:rsidP="00482E4A">
      <w:pPr>
        <w:pStyle w:val="Bodycopy"/>
        <w:jc w:val="both"/>
        <w:rPr>
          <w:rFonts w:ascii="Calibri" w:hAnsi="Calibri" w:cs="Calibri"/>
          <w:color w:val="auto"/>
          <w:sz w:val="22"/>
          <w:szCs w:val="56"/>
        </w:rPr>
      </w:pPr>
    </w:p>
    <w:p w14:paraId="7E10733F" w14:textId="77777777" w:rsidR="00482E4A" w:rsidRPr="00D2132A" w:rsidRDefault="00482E4A" w:rsidP="00482E4A">
      <w:pPr>
        <w:pStyle w:val="Bodycopy"/>
        <w:jc w:val="both"/>
        <w:rPr>
          <w:rFonts w:ascii="Calibri" w:hAnsi="Calibri" w:cs="Calibri"/>
          <w:color w:val="auto"/>
          <w:sz w:val="22"/>
          <w:szCs w:val="22"/>
        </w:rPr>
      </w:pPr>
      <w:r w:rsidRPr="00D2132A">
        <w:rPr>
          <w:rFonts w:ascii="Calibri" w:hAnsi="Calibri" w:cs="Calibri"/>
          <w:color w:val="auto"/>
          <w:sz w:val="22"/>
          <w:szCs w:val="22"/>
        </w:rPr>
        <w:t xml:space="preserve">Grants will not be provided for routine replacement of existing equipment. </w:t>
      </w:r>
    </w:p>
    <w:p w14:paraId="5822317F" w14:textId="77777777" w:rsidR="00482E4A" w:rsidRPr="00D2132A" w:rsidRDefault="00482E4A" w:rsidP="00482E4A">
      <w:pPr>
        <w:pStyle w:val="Bodycopy"/>
        <w:rPr>
          <w:color w:val="auto"/>
        </w:rPr>
      </w:pPr>
    </w:p>
    <w:p w14:paraId="32D1A77C" w14:textId="77777777" w:rsidR="00482E4A" w:rsidRPr="00D2132A" w:rsidRDefault="00482E4A" w:rsidP="00482E4A">
      <w:pPr>
        <w:pStyle w:val="Bodycopy"/>
        <w:rPr>
          <w:rFonts w:ascii="Calibri" w:hAnsi="Calibri" w:cs="Calibri"/>
          <w:color w:val="auto"/>
          <w:sz w:val="22"/>
          <w:szCs w:val="22"/>
        </w:rPr>
      </w:pPr>
      <w:r w:rsidRPr="00D2132A">
        <w:rPr>
          <w:rFonts w:ascii="Calibri" w:hAnsi="Calibri" w:cs="Calibri"/>
          <w:color w:val="auto"/>
          <w:sz w:val="22"/>
          <w:szCs w:val="22"/>
        </w:rPr>
        <w:t>Intangible assets are eligible if they fulfil all of the following conditions:</w:t>
      </w:r>
    </w:p>
    <w:p w14:paraId="30130B6D" w14:textId="77777777" w:rsidR="00482E4A" w:rsidRPr="00D2132A" w:rsidRDefault="00482E4A" w:rsidP="00482E4A">
      <w:pPr>
        <w:pStyle w:val="Bulletedtextlevel2"/>
        <w:numPr>
          <w:ilvl w:val="0"/>
          <w:numId w:val="7"/>
        </w:numPr>
        <w:rPr>
          <w:rFonts w:ascii="Calibri" w:hAnsi="Calibri" w:cs="Calibri"/>
          <w:color w:val="auto"/>
          <w:sz w:val="22"/>
          <w:szCs w:val="22"/>
        </w:rPr>
      </w:pPr>
      <w:r w:rsidRPr="00D2132A">
        <w:rPr>
          <w:rFonts w:ascii="Calibri" w:hAnsi="Calibri" w:cs="Calibri"/>
          <w:color w:val="auto"/>
          <w:sz w:val="22"/>
          <w:szCs w:val="22"/>
        </w:rPr>
        <w:t>They must be used exclusively in the establishment receiving the aid</w:t>
      </w:r>
    </w:p>
    <w:p w14:paraId="65AA2418" w14:textId="77777777" w:rsidR="00482E4A" w:rsidRPr="00D2132A" w:rsidRDefault="00482E4A" w:rsidP="00482E4A">
      <w:pPr>
        <w:pStyle w:val="Bulletedtextlevel2"/>
        <w:numPr>
          <w:ilvl w:val="0"/>
          <w:numId w:val="7"/>
        </w:numPr>
        <w:rPr>
          <w:rFonts w:ascii="Calibri" w:hAnsi="Calibri" w:cs="Calibri"/>
          <w:color w:val="auto"/>
          <w:sz w:val="22"/>
          <w:szCs w:val="22"/>
        </w:rPr>
      </w:pPr>
      <w:r w:rsidRPr="00D2132A">
        <w:rPr>
          <w:rFonts w:ascii="Calibri" w:hAnsi="Calibri" w:cs="Calibri"/>
          <w:color w:val="auto"/>
          <w:sz w:val="22"/>
          <w:szCs w:val="22"/>
        </w:rPr>
        <w:t>They must be amortisable</w:t>
      </w:r>
    </w:p>
    <w:p w14:paraId="4B37A235" w14:textId="77777777" w:rsidR="00482E4A" w:rsidRPr="00D2132A" w:rsidRDefault="00482E4A" w:rsidP="00482E4A">
      <w:pPr>
        <w:pStyle w:val="Bulletedtextlevel2"/>
        <w:numPr>
          <w:ilvl w:val="0"/>
          <w:numId w:val="7"/>
        </w:numPr>
        <w:rPr>
          <w:rFonts w:ascii="Calibri" w:hAnsi="Calibri" w:cs="Calibri"/>
          <w:color w:val="auto"/>
          <w:sz w:val="22"/>
          <w:szCs w:val="22"/>
        </w:rPr>
      </w:pPr>
      <w:r w:rsidRPr="00D2132A">
        <w:rPr>
          <w:rFonts w:ascii="Calibri" w:hAnsi="Calibri" w:cs="Calibri"/>
          <w:color w:val="auto"/>
          <w:sz w:val="22"/>
          <w:szCs w:val="22"/>
        </w:rPr>
        <w:t>They must be purchased under market conditions from third parties unrelated to the buyer</w:t>
      </w:r>
    </w:p>
    <w:p w14:paraId="30569DE7" w14:textId="02874027" w:rsidR="00482E4A" w:rsidRPr="00D2132A" w:rsidRDefault="00482E4A" w:rsidP="00482E4A">
      <w:pPr>
        <w:pStyle w:val="Bulletedtextlevel2"/>
        <w:numPr>
          <w:ilvl w:val="0"/>
          <w:numId w:val="7"/>
        </w:numPr>
        <w:rPr>
          <w:rFonts w:ascii="Calibri" w:hAnsi="Calibri" w:cs="Calibri"/>
          <w:color w:val="auto"/>
          <w:sz w:val="22"/>
          <w:szCs w:val="22"/>
        </w:rPr>
      </w:pPr>
      <w:r w:rsidRPr="00D2132A">
        <w:rPr>
          <w:rFonts w:ascii="Calibri" w:hAnsi="Calibri" w:cs="Calibri"/>
          <w:color w:val="auto"/>
          <w:sz w:val="22"/>
          <w:szCs w:val="22"/>
        </w:rPr>
        <w:t>They must be included in the assets of the undertaking receiving the aid and must remain associated with the project for which the aid is granted for at least three years</w:t>
      </w:r>
    </w:p>
    <w:p w14:paraId="05F467CF" w14:textId="229C0282" w:rsidR="00482E4A" w:rsidRPr="00D2132A" w:rsidRDefault="00EE05AE" w:rsidP="00AA6473">
      <w:pPr>
        <w:pStyle w:val="TOC-Sub"/>
        <w:outlineLvl w:val="1"/>
        <w:rPr>
          <w:color w:val="auto"/>
        </w:rPr>
      </w:pPr>
      <w:bookmarkStart w:id="30" w:name="_2.8_Viability"/>
      <w:bookmarkStart w:id="31" w:name="_Toc9585323"/>
      <w:bookmarkStart w:id="32" w:name="_Toc152159657"/>
      <w:bookmarkStart w:id="33" w:name="_Toc157694435"/>
      <w:bookmarkEnd w:id="30"/>
      <w:r w:rsidRPr="00D2132A">
        <w:rPr>
          <w:color w:val="auto"/>
        </w:rPr>
        <w:t>2.8</w:t>
      </w:r>
      <w:r w:rsidR="00482E4A" w:rsidRPr="00D2132A">
        <w:rPr>
          <w:color w:val="auto"/>
        </w:rPr>
        <w:tab/>
        <w:t>Viability</w:t>
      </w:r>
      <w:bookmarkEnd w:id="31"/>
      <w:bookmarkEnd w:id="32"/>
      <w:bookmarkEnd w:id="33"/>
    </w:p>
    <w:p w14:paraId="0C3F2F38" w14:textId="029B31EC" w:rsidR="00482E4A" w:rsidRPr="00D2132A" w:rsidRDefault="00482E4A" w:rsidP="00482E4A">
      <w:pPr>
        <w:pStyle w:val="Bodycopy"/>
        <w:jc w:val="both"/>
        <w:rPr>
          <w:rFonts w:ascii="Calibri" w:hAnsi="Calibri" w:cs="Calibri"/>
          <w:color w:val="auto"/>
          <w:sz w:val="22"/>
          <w:szCs w:val="22"/>
        </w:rPr>
      </w:pPr>
      <w:r w:rsidRPr="00D2132A">
        <w:rPr>
          <w:rFonts w:ascii="Calibri" w:hAnsi="Calibri" w:cs="Calibri"/>
          <w:color w:val="auto"/>
          <w:sz w:val="22"/>
          <w:szCs w:val="22"/>
        </w:rPr>
        <w:t>The business undertaking the investment project must be able to demonstrate that it is viable, and the project must have a good chance of being self-sustaining by the completion of the investment. Assessment of viability will include, for example, market prospects, management of the business, finances of the business.</w:t>
      </w:r>
      <w:r w:rsidR="007B6C6B" w:rsidRPr="00D2132A">
        <w:rPr>
          <w:rFonts w:ascii="Calibri" w:hAnsi="Calibri" w:cs="Calibri"/>
          <w:color w:val="auto"/>
          <w:sz w:val="22"/>
          <w:szCs w:val="22"/>
        </w:rPr>
        <w:t xml:space="preserve"> </w:t>
      </w:r>
    </w:p>
    <w:p w14:paraId="6F03219A" w14:textId="77777777" w:rsidR="00482E4A" w:rsidRPr="00D2132A" w:rsidRDefault="00482E4A" w:rsidP="00482E4A">
      <w:pPr>
        <w:pStyle w:val="Bodycopy"/>
        <w:jc w:val="both"/>
        <w:rPr>
          <w:rFonts w:ascii="Calibri" w:hAnsi="Calibri" w:cs="Calibri"/>
          <w:color w:val="auto"/>
          <w:sz w:val="22"/>
          <w:szCs w:val="22"/>
        </w:rPr>
      </w:pPr>
    </w:p>
    <w:p w14:paraId="662CFBDE" w14:textId="61C4298C" w:rsidR="00482E4A" w:rsidRPr="00D2132A" w:rsidRDefault="00482E4A" w:rsidP="00482E4A">
      <w:pPr>
        <w:pStyle w:val="Bodycopy"/>
        <w:jc w:val="both"/>
        <w:rPr>
          <w:rFonts w:ascii="Calibri" w:hAnsi="Calibri" w:cs="Calibri"/>
          <w:color w:val="auto"/>
          <w:sz w:val="22"/>
          <w:szCs w:val="22"/>
        </w:rPr>
      </w:pPr>
      <w:r w:rsidRPr="00D2132A">
        <w:rPr>
          <w:rFonts w:ascii="Calibri" w:hAnsi="Calibri" w:cs="Calibri"/>
          <w:color w:val="auto"/>
          <w:sz w:val="22"/>
          <w:szCs w:val="22"/>
        </w:rPr>
        <w:t>The Fund cannot be used to support undertakings or firms in difficulty, unless the Grant Panel is satisfied that the project and company are viable. A definition of a</w:t>
      </w:r>
      <w:r w:rsidR="00976067" w:rsidRPr="00D2132A">
        <w:rPr>
          <w:rFonts w:ascii="Calibri" w:hAnsi="Calibri" w:cs="Calibri"/>
          <w:color w:val="auto"/>
          <w:sz w:val="22"/>
          <w:szCs w:val="22"/>
        </w:rPr>
        <w:t xml:space="preserve">n undertaking </w:t>
      </w:r>
      <w:r w:rsidRPr="00D2132A">
        <w:rPr>
          <w:rFonts w:ascii="Calibri" w:hAnsi="Calibri" w:cs="Calibri"/>
          <w:color w:val="auto"/>
          <w:sz w:val="22"/>
          <w:szCs w:val="22"/>
        </w:rPr>
        <w:t xml:space="preserve">in difficulty is included </w:t>
      </w:r>
      <w:r w:rsidR="00505900" w:rsidRPr="00D2132A">
        <w:rPr>
          <w:rFonts w:ascii="Calibri" w:hAnsi="Calibri" w:cs="Calibri"/>
          <w:color w:val="auto"/>
          <w:sz w:val="22"/>
          <w:szCs w:val="22"/>
        </w:rPr>
        <w:t>in</w:t>
      </w:r>
      <w:r w:rsidRPr="00D2132A">
        <w:rPr>
          <w:rFonts w:ascii="Calibri" w:hAnsi="Calibri" w:cs="Calibri"/>
          <w:color w:val="auto"/>
          <w:sz w:val="22"/>
          <w:szCs w:val="22"/>
        </w:rPr>
        <w:t xml:space="preserve"> Annex A of these guidelines. </w:t>
      </w:r>
    </w:p>
    <w:p w14:paraId="66C75547" w14:textId="1E9E3E60" w:rsidR="00482E4A" w:rsidRPr="00D2132A" w:rsidRDefault="00EE05AE" w:rsidP="00AA6473">
      <w:pPr>
        <w:pStyle w:val="TOC-Sub"/>
        <w:outlineLvl w:val="1"/>
        <w:rPr>
          <w:color w:val="auto"/>
        </w:rPr>
      </w:pPr>
      <w:bookmarkStart w:id="34" w:name="_2.9_Additionality_and"/>
      <w:bookmarkStart w:id="35" w:name="_Toc9585324"/>
      <w:bookmarkStart w:id="36" w:name="_Toc152159658"/>
      <w:bookmarkStart w:id="37" w:name="_Toc157694436"/>
      <w:bookmarkEnd w:id="34"/>
      <w:r w:rsidRPr="00D2132A">
        <w:rPr>
          <w:color w:val="auto"/>
        </w:rPr>
        <w:t>2.9</w:t>
      </w:r>
      <w:r w:rsidR="00482E4A" w:rsidRPr="00D2132A">
        <w:rPr>
          <w:color w:val="auto"/>
        </w:rPr>
        <w:tab/>
        <w:t>Additionality</w:t>
      </w:r>
      <w:bookmarkEnd w:id="35"/>
      <w:r w:rsidR="00482E4A" w:rsidRPr="00D2132A">
        <w:rPr>
          <w:color w:val="auto"/>
        </w:rPr>
        <w:t xml:space="preserve"> and Incentive Effect</w:t>
      </w:r>
      <w:bookmarkEnd w:id="36"/>
      <w:bookmarkEnd w:id="37"/>
    </w:p>
    <w:p w14:paraId="081F78A3" w14:textId="2AAA0F06" w:rsidR="00482E4A" w:rsidRPr="00D2132A" w:rsidRDefault="00482E4A" w:rsidP="00482E4A">
      <w:pPr>
        <w:pStyle w:val="Bodycopy"/>
        <w:jc w:val="both"/>
        <w:rPr>
          <w:rFonts w:ascii="Calibri" w:hAnsi="Calibri" w:cs="Calibri"/>
          <w:color w:val="auto"/>
          <w:sz w:val="22"/>
          <w:szCs w:val="22"/>
        </w:rPr>
      </w:pPr>
      <w:r w:rsidRPr="00D2132A">
        <w:rPr>
          <w:rFonts w:ascii="Calibri" w:hAnsi="Calibri" w:cs="Calibri"/>
          <w:color w:val="auto"/>
          <w:sz w:val="22"/>
          <w:szCs w:val="22"/>
        </w:rPr>
        <w:t>There must be an incentive effect i.e. the applicant must be able to demonstrate convincingly that without the grant th</w:t>
      </w:r>
      <w:r w:rsidRPr="00D2132A">
        <w:rPr>
          <w:rFonts w:ascii="Calibri" w:hAnsi="Calibri" w:cs="Calibri"/>
          <w:color w:val="auto"/>
          <w:sz w:val="22"/>
          <w:szCs w:val="22"/>
          <w:lang w:val="en-US"/>
        </w:rPr>
        <w:t xml:space="preserve">e project would not go ahead at all or </w:t>
      </w:r>
      <w:r w:rsidR="003F14D9" w:rsidRPr="00D2132A">
        <w:rPr>
          <w:rFonts w:ascii="Calibri" w:hAnsi="Calibri" w:cs="Calibri"/>
          <w:color w:val="auto"/>
          <w:sz w:val="22"/>
          <w:szCs w:val="22"/>
          <w:lang w:val="en-US"/>
        </w:rPr>
        <w:t xml:space="preserve">would not proceed </w:t>
      </w:r>
      <w:r w:rsidRPr="00D2132A">
        <w:rPr>
          <w:rFonts w:ascii="Calibri" w:hAnsi="Calibri" w:cs="Calibri"/>
          <w:color w:val="auto"/>
          <w:sz w:val="22"/>
          <w:szCs w:val="22"/>
          <w:lang w:val="en-US"/>
        </w:rPr>
        <w:t>on the proposed scale</w:t>
      </w:r>
      <w:r w:rsidR="003F14D9" w:rsidRPr="00D2132A">
        <w:rPr>
          <w:rFonts w:ascii="Calibri" w:hAnsi="Calibri" w:cs="Calibri"/>
          <w:color w:val="auto"/>
          <w:sz w:val="22"/>
          <w:szCs w:val="22"/>
          <w:lang w:val="en-US"/>
        </w:rPr>
        <w:t xml:space="preserve"> or </w:t>
      </w:r>
      <w:r w:rsidRPr="00D2132A">
        <w:rPr>
          <w:rFonts w:ascii="Calibri" w:hAnsi="Calibri" w:cs="Calibri"/>
          <w:color w:val="auto"/>
          <w:sz w:val="22"/>
          <w:szCs w:val="22"/>
          <w:lang w:val="en-US"/>
        </w:rPr>
        <w:t xml:space="preserve">in the proposed timescale or in the proposed location. </w:t>
      </w:r>
      <w:r w:rsidRPr="00D2132A">
        <w:rPr>
          <w:rFonts w:ascii="Calibri" w:hAnsi="Calibri" w:cs="Calibri"/>
          <w:color w:val="auto"/>
          <w:sz w:val="22"/>
          <w:szCs w:val="22"/>
        </w:rPr>
        <w:t xml:space="preserve">Grants will be considered to have an incentive effect if, before work on the project or activity has started, the beneficiary has submitted an application to the </w:t>
      </w:r>
      <w:r w:rsidR="00E20D62">
        <w:rPr>
          <w:rFonts w:ascii="Calibri" w:hAnsi="Calibri" w:cs="Calibri"/>
          <w:color w:val="auto"/>
          <w:sz w:val="22"/>
          <w:szCs w:val="22"/>
        </w:rPr>
        <w:t>UK SPF</w:t>
      </w:r>
      <w:r w:rsidRPr="00D2132A">
        <w:rPr>
          <w:rFonts w:ascii="Calibri" w:hAnsi="Calibri" w:cs="Calibri"/>
          <w:color w:val="auto"/>
          <w:sz w:val="22"/>
          <w:szCs w:val="22"/>
        </w:rPr>
        <w:t xml:space="preserve"> Business Grant explaining to the satisfaction of the Grant Panel why the grant is necessary for viability of the project. </w:t>
      </w:r>
    </w:p>
    <w:p w14:paraId="3A63B1A6" w14:textId="77777777" w:rsidR="00482E4A" w:rsidRPr="00D2132A" w:rsidRDefault="00482E4A" w:rsidP="00482E4A">
      <w:pPr>
        <w:pStyle w:val="Bodycopy"/>
        <w:jc w:val="both"/>
        <w:rPr>
          <w:rFonts w:ascii="Calibri" w:hAnsi="Calibri" w:cs="Calibri"/>
          <w:color w:val="auto"/>
          <w:sz w:val="22"/>
          <w:szCs w:val="22"/>
        </w:rPr>
      </w:pPr>
    </w:p>
    <w:p w14:paraId="1DA2FC22" w14:textId="4F086B4F" w:rsidR="00482E4A" w:rsidRPr="00D2132A" w:rsidRDefault="00482E4A" w:rsidP="00482E4A">
      <w:pPr>
        <w:pStyle w:val="Bodycopy"/>
        <w:jc w:val="both"/>
        <w:rPr>
          <w:rFonts w:ascii="Calibri" w:hAnsi="Calibri" w:cs="Calibri"/>
          <w:color w:val="auto"/>
          <w:sz w:val="22"/>
          <w:szCs w:val="22"/>
        </w:rPr>
      </w:pPr>
      <w:r w:rsidRPr="00D2132A">
        <w:rPr>
          <w:rFonts w:ascii="Calibri" w:hAnsi="Calibri" w:cs="Calibri"/>
          <w:color w:val="auto"/>
          <w:sz w:val="22"/>
          <w:szCs w:val="22"/>
        </w:rPr>
        <w:t xml:space="preserve">Note that it will not be acceptable to state as a reason that the organisation has </w:t>
      </w:r>
      <w:r w:rsidR="003B2BC6" w:rsidRPr="00D2132A">
        <w:rPr>
          <w:rFonts w:ascii="Calibri" w:hAnsi="Calibri" w:cs="Calibri"/>
          <w:color w:val="auto"/>
          <w:sz w:val="22"/>
          <w:szCs w:val="22"/>
        </w:rPr>
        <w:t xml:space="preserve">a </w:t>
      </w:r>
      <w:r w:rsidRPr="00D2132A">
        <w:rPr>
          <w:rFonts w:ascii="Calibri" w:hAnsi="Calibri" w:cs="Calibri"/>
          <w:color w:val="auto"/>
          <w:sz w:val="22"/>
          <w:szCs w:val="22"/>
        </w:rPr>
        <w:t>policy not to borrow.</w:t>
      </w:r>
    </w:p>
    <w:p w14:paraId="10AF5B21" w14:textId="18FD2853" w:rsidR="00482E4A" w:rsidRPr="00D2132A" w:rsidRDefault="00EE05AE" w:rsidP="00AA6473">
      <w:pPr>
        <w:pStyle w:val="TOC-Sub"/>
        <w:outlineLvl w:val="1"/>
        <w:rPr>
          <w:color w:val="auto"/>
          <w:lang w:val="en-US"/>
        </w:rPr>
      </w:pPr>
      <w:bookmarkStart w:id="38" w:name="_2.10_Eligible_Bodies"/>
      <w:bookmarkStart w:id="39" w:name="_Toc9585326"/>
      <w:bookmarkStart w:id="40" w:name="_Toc152159659"/>
      <w:bookmarkStart w:id="41" w:name="_Toc157694437"/>
      <w:bookmarkEnd w:id="38"/>
      <w:r w:rsidRPr="00D2132A">
        <w:rPr>
          <w:color w:val="auto"/>
          <w:lang w:val="en-US"/>
        </w:rPr>
        <w:t>2.10</w:t>
      </w:r>
      <w:r w:rsidR="00482E4A" w:rsidRPr="00D2132A">
        <w:rPr>
          <w:color w:val="auto"/>
          <w:lang w:val="en-US"/>
        </w:rPr>
        <w:tab/>
      </w:r>
      <w:r w:rsidR="00482E4A" w:rsidRPr="00D2132A">
        <w:rPr>
          <w:color w:val="auto"/>
        </w:rPr>
        <w:t>Eligible</w:t>
      </w:r>
      <w:r w:rsidR="00482E4A" w:rsidRPr="00D2132A">
        <w:rPr>
          <w:color w:val="auto"/>
          <w:lang w:val="en-US"/>
        </w:rPr>
        <w:t xml:space="preserve"> Bodies</w:t>
      </w:r>
      <w:bookmarkEnd w:id="39"/>
      <w:bookmarkEnd w:id="40"/>
      <w:bookmarkEnd w:id="41"/>
    </w:p>
    <w:p w14:paraId="029E3985" w14:textId="35E606D8" w:rsidR="00482E4A" w:rsidRPr="00D2132A" w:rsidRDefault="00E20D62" w:rsidP="00482E4A">
      <w:pPr>
        <w:pStyle w:val="Bodycopy"/>
        <w:jc w:val="both"/>
        <w:rPr>
          <w:rFonts w:ascii="Calibri" w:hAnsi="Calibri" w:cs="Calibri"/>
          <w:color w:val="auto"/>
          <w:sz w:val="22"/>
          <w:szCs w:val="22"/>
          <w:lang w:val="en-US"/>
        </w:rPr>
      </w:pPr>
      <w:r>
        <w:rPr>
          <w:rFonts w:ascii="Calibri" w:hAnsi="Calibri" w:cs="Calibri"/>
          <w:color w:val="auto"/>
          <w:sz w:val="22"/>
          <w:szCs w:val="22"/>
          <w:lang w:val="en-US"/>
        </w:rPr>
        <w:t>UK SPF</w:t>
      </w:r>
      <w:r w:rsidR="00482E4A" w:rsidRPr="00D2132A">
        <w:rPr>
          <w:rFonts w:ascii="Calibri" w:hAnsi="Calibri" w:cs="Calibri"/>
          <w:color w:val="auto"/>
          <w:sz w:val="22"/>
          <w:szCs w:val="22"/>
          <w:lang w:val="en-US"/>
        </w:rPr>
        <w:t xml:space="preserve"> Business Grant support can be awarded to companies, partnerships or sole traders</w:t>
      </w:r>
      <w:r w:rsidR="003B2BC6" w:rsidRPr="00D2132A">
        <w:rPr>
          <w:rFonts w:ascii="Calibri" w:hAnsi="Calibri" w:cs="Calibri"/>
          <w:color w:val="auto"/>
          <w:sz w:val="22"/>
          <w:szCs w:val="22"/>
          <w:lang w:val="en-US"/>
        </w:rPr>
        <w:t xml:space="preserve">. </w:t>
      </w:r>
      <w:r w:rsidR="00482E4A" w:rsidRPr="00D2132A">
        <w:rPr>
          <w:rFonts w:ascii="Calibri" w:hAnsi="Calibri" w:cs="Calibri"/>
          <w:color w:val="auto"/>
          <w:sz w:val="22"/>
          <w:szCs w:val="22"/>
          <w:lang w:val="en-US"/>
        </w:rPr>
        <w:t>In these Guidelines the term “company” includes all legal vehicles for carrying on business (including partnerships, limited liability partnerships, sole traders, companies limited by guarantee and companies registered in other jurisdictions as well as limited liability companies registered in Great Britain) unless the context dictates otherwise.</w:t>
      </w:r>
    </w:p>
    <w:p w14:paraId="75F590CA" w14:textId="77777777" w:rsidR="003B2BC6" w:rsidRPr="00D2132A" w:rsidRDefault="003B2BC6" w:rsidP="00482E4A">
      <w:pPr>
        <w:pStyle w:val="Bodycopy"/>
        <w:jc w:val="both"/>
        <w:rPr>
          <w:rFonts w:ascii="Calibri" w:hAnsi="Calibri" w:cs="Calibri"/>
          <w:color w:val="auto"/>
          <w:sz w:val="22"/>
          <w:szCs w:val="22"/>
          <w:lang w:val="en-US"/>
        </w:rPr>
      </w:pPr>
    </w:p>
    <w:p w14:paraId="0B115BAB" w14:textId="2997DB88" w:rsidR="00482E4A" w:rsidRPr="00D2132A" w:rsidRDefault="003B2BC6" w:rsidP="00482E4A">
      <w:pPr>
        <w:pStyle w:val="Bodycopy"/>
        <w:jc w:val="both"/>
        <w:rPr>
          <w:rFonts w:ascii="Calibri" w:hAnsi="Calibri" w:cs="Calibri"/>
          <w:color w:val="auto"/>
          <w:sz w:val="22"/>
          <w:szCs w:val="22"/>
          <w:lang w:val="en-US"/>
        </w:rPr>
      </w:pPr>
      <w:r w:rsidRPr="00D2132A">
        <w:rPr>
          <w:rFonts w:ascii="Calibri" w:hAnsi="Calibri" w:cs="Calibri"/>
          <w:color w:val="auto"/>
          <w:sz w:val="22"/>
          <w:szCs w:val="22"/>
          <w:lang w:val="en-US"/>
        </w:rPr>
        <w:t xml:space="preserve">Support is not expected to include social enterprises, however these may be included where other support is agreed to be unavailable or unsuitable (following discussion with the Funder). </w:t>
      </w:r>
    </w:p>
    <w:p w14:paraId="0A9BD530" w14:textId="77777777" w:rsidR="003B2BC6" w:rsidRPr="00D2132A" w:rsidRDefault="003B2BC6" w:rsidP="00482E4A">
      <w:pPr>
        <w:pStyle w:val="Bodycopy"/>
        <w:jc w:val="both"/>
        <w:rPr>
          <w:rFonts w:ascii="Calibri" w:hAnsi="Calibri" w:cs="Calibri"/>
          <w:color w:val="auto"/>
          <w:sz w:val="22"/>
          <w:szCs w:val="22"/>
          <w:lang w:val="en-US"/>
        </w:rPr>
      </w:pPr>
    </w:p>
    <w:p w14:paraId="33F65304" w14:textId="77777777" w:rsidR="00482E4A" w:rsidRPr="00D2132A" w:rsidRDefault="00482E4A" w:rsidP="00482E4A">
      <w:pPr>
        <w:pStyle w:val="Bodycopy"/>
        <w:jc w:val="both"/>
        <w:rPr>
          <w:rFonts w:ascii="Calibri" w:hAnsi="Calibri" w:cs="Calibri"/>
          <w:color w:val="auto"/>
          <w:sz w:val="22"/>
          <w:szCs w:val="22"/>
        </w:rPr>
      </w:pPr>
      <w:r w:rsidRPr="00D2132A">
        <w:rPr>
          <w:rFonts w:ascii="Calibri" w:hAnsi="Calibri" w:cs="Calibri"/>
          <w:color w:val="auto"/>
          <w:sz w:val="22"/>
          <w:szCs w:val="22"/>
          <w:lang w:val="en-US"/>
        </w:rPr>
        <w:t xml:space="preserve">Public sector organisations are not eligible.  </w:t>
      </w:r>
      <w:r w:rsidRPr="00D2132A">
        <w:rPr>
          <w:rFonts w:ascii="Calibri" w:hAnsi="Calibri" w:cs="Calibri"/>
          <w:color w:val="auto"/>
          <w:sz w:val="22"/>
          <w:szCs w:val="22"/>
        </w:rPr>
        <w:t>Grants can only be awarded to commercial organisations. To qualify as a commercial activity at least 50% of income or profits must be derived from business trading. Grants will not be available to the public sector.</w:t>
      </w:r>
    </w:p>
    <w:p w14:paraId="2EEEB43F" w14:textId="77777777" w:rsidR="00610EB5" w:rsidRPr="00D2132A" w:rsidRDefault="00610EB5" w:rsidP="00482E4A">
      <w:pPr>
        <w:pStyle w:val="Bodycopy"/>
        <w:jc w:val="both"/>
        <w:rPr>
          <w:rFonts w:ascii="Calibri" w:hAnsi="Calibri" w:cs="Calibri"/>
          <w:color w:val="auto"/>
          <w:sz w:val="22"/>
          <w:szCs w:val="22"/>
        </w:rPr>
      </w:pPr>
    </w:p>
    <w:p w14:paraId="0BDB8B27" w14:textId="10B5489C" w:rsidR="00482E4A" w:rsidRPr="00D2132A" w:rsidRDefault="00EE05AE" w:rsidP="00AA6473">
      <w:pPr>
        <w:pStyle w:val="TOC-Sub"/>
        <w:outlineLvl w:val="1"/>
        <w:rPr>
          <w:color w:val="auto"/>
        </w:rPr>
      </w:pPr>
      <w:bookmarkStart w:id="42" w:name="_2.11_No_Prior"/>
      <w:bookmarkStart w:id="43" w:name="_Toc9585327"/>
      <w:bookmarkStart w:id="44" w:name="_Toc152159660"/>
      <w:bookmarkStart w:id="45" w:name="_Toc157694438"/>
      <w:bookmarkEnd w:id="42"/>
      <w:r w:rsidRPr="00D2132A">
        <w:rPr>
          <w:color w:val="auto"/>
        </w:rPr>
        <w:t>2.11</w:t>
      </w:r>
      <w:r w:rsidR="00482E4A" w:rsidRPr="00D2132A">
        <w:rPr>
          <w:color w:val="auto"/>
        </w:rPr>
        <w:tab/>
        <w:t>No Prior Start</w:t>
      </w:r>
      <w:bookmarkEnd w:id="43"/>
      <w:bookmarkEnd w:id="44"/>
      <w:bookmarkEnd w:id="45"/>
    </w:p>
    <w:p w14:paraId="33FE626D" w14:textId="4E5D5C31" w:rsidR="00BA560B" w:rsidRPr="00D2132A" w:rsidRDefault="00482E4A" w:rsidP="00EE05AE">
      <w:pPr>
        <w:pStyle w:val="Bodycopy"/>
        <w:jc w:val="both"/>
        <w:rPr>
          <w:rFonts w:ascii="Calibri" w:hAnsi="Calibri" w:cs="Calibri"/>
          <w:color w:val="auto"/>
          <w:sz w:val="22"/>
          <w:szCs w:val="22"/>
          <w:lang w:val="en-US"/>
        </w:rPr>
      </w:pPr>
      <w:r w:rsidRPr="00D2132A">
        <w:rPr>
          <w:rFonts w:ascii="Calibri" w:hAnsi="Calibri" w:cs="Calibri"/>
          <w:color w:val="auto"/>
          <w:sz w:val="22"/>
          <w:szCs w:val="22"/>
        </w:rPr>
        <w:t>Activity must not have commenced or been committed to prior to grant approval.</w:t>
      </w:r>
      <w:r w:rsidR="00504D05" w:rsidRPr="00D2132A">
        <w:rPr>
          <w:rFonts w:ascii="Calibri" w:hAnsi="Calibri" w:cs="Calibri"/>
          <w:color w:val="auto"/>
          <w:sz w:val="22"/>
          <w:szCs w:val="22"/>
        </w:rPr>
        <w:t xml:space="preserve"> </w:t>
      </w:r>
      <w:r w:rsidRPr="00D2132A">
        <w:rPr>
          <w:rFonts w:ascii="Calibri" w:hAnsi="Calibri" w:cs="Calibri"/>
          <w:color w:val="auto"/>
          <w:sz w:val="22"/>
          <w:szCs w:val="22"/>
          <w:lang w:val="en-US"/>
        </w:rPr>
        <w:t xml:space="preserve">If work on a project has started, then it is ineligible for </w:t>
      </w:r>
      <w:r w:rsidR="00E20D62">
        <w:rPr>
          <w:rFonts w:ascii="Calibri" w:hAnsi="Calibri" w:cs="Calibri"/>
          <w:color w:val="auto"/>
          <w:sz w:val="22"/>
          <w:szCs w:val="22"/>
          <w:lang w:val="en-US"/>
        </w:rPr>
        <w:t>UK SPF</w:t>
      </w:r>
      <w:r w:rsidRPr="00D2132A">
        <w:rPr>
          <w:rFonts w:ascii="Calibri" w:hAnsi="Calibri" w:cs="Calibri"/>
          <w:color w:val="auto"/>
          <w:sz w:val="22"/>
          <w:szCs w:val="22"/>
          <w:lang w:val="en-US"/>
        </w:rPr>
        <w:t xml:space="preserve"> Business Grant support. “Start of work” is defined in Annex A. </w:t>
      </w:r>
    </w:p>
    <w:p w14:paraId="31987FD9" w14:textId="2F099736" w:rsidR="00EE05AE" w:rsidRPr="00D2132A" w:rsidRDefault="00EE05AE" w:rsidP="00B439E3">
      <w:pPr>
        <w:pStyle w:val="TOC-Sub"/>
        <w:outlineLvl w:val="1"/>
        <w:rPr>
          <w:color w:val="auto"/>
        </w:rPr>
      </w:pPr>
      <w:bookmarkStart w:id="46" w:name="_2.12_Subsidy_Control"/>
      <w:bookmarkStart w:id="47" w:name="_Toc152159661"/>
      <w:bookmarkStart w:id="48" w:name="_Toc157694439"/>
      <w:bookmarkEnd w:id="46"/>
      <w:r w:rsidRPr="00D2132A">
        <w:rPr>
          <w:color w:val="auto"/>
        </w:rPr>
        <w:t>2.1</w:t>
      </w:r>
      <w:r w:rsidR="004C0E8E" w:rsidRPr="00D2132A">
        <w:rPr>
          <w:color w:val="auto"/>
        </w:rPr>
        <w:t>2</w:t>
      </w:r>
      <w:r w:rsidRPr="00D2132A">
        <w:rPr>
          <w:color w:val="auto"/>
        </w:rPr>
        <w:tab/>
        <w:t>Subsidy Control</w:t>
      </w:r>
      <w:bookmarkEnd w:id="47"/>
      <w:bookmarkEnd w:id="48"/>
    </w:p>
    <w:p w14:paraId="14024A91" w14:textId="72AA09FF" w:rsidR="00EE05AE" w:rsidRPr="00D2132A" w:rsidRDefault="00FF380B" w:rsidP="00EE05AE">
      <w:pPr>
        <w:pStyle w:val="Bodycopy"/>
        <w:jc w:val="both"/>
        <w:rPr>
          <w:rFonts w:ascii="Calibri" w:hAnsi="Calibri" w:cs="Calibri"/>
          <w:color w:val="auto"/>
          <w:sz w:val="22"/>
          <w:szCs w:val="22"/>
          <w:lang w:val="en-US"/>
        </w:rPr>
      </w:pPr>
      <w:r w:rsidRPr="00D2132A">
        <w:rPr>
          <w:rFonts w:ascii="Calibri" w:hAnsi="Calibri" w:cs="Calibri"/>
          <w:color w:val="auto"/>
          <w:sz w:val="22"/>
          <w:szCs w:val="22"/>
          <w:lang w:val="en-US"/>
        </w:rPr>
        <w:t xml:space="preserve">Applicants must demonstrate that any grant awarded would be compliant with Subsidy Control </w:t>
      </w:r>
      <w:r w:rsidR="003F25F2" w:rsidRPr="00D2132A">
        <w:rPr>
          <w:rFonts w:ascii="Calibri" w:hAnsi="Calibri" w:cs="Calibri"/>
          <w:color w:val="auto"/>
          <w:sz w:val="22"/>
          <w:szCs w:val="22"/>
          <w:lang w:val="en-US"/>
        </w:rPr>
        <w:t>R</w:t>
      </w:r>
      <w:r w:rsidRPr="00D2132A">
        <w:rPr>
          <w:rFonts w:ascii="Calibri" w:hAnsi="Calibri" w:cs="Calibri"/>
          <w:color w:val="auto"/>
          <w:sz w:val="22"/>
          <w:szCs w:val="22"/>
          <w:lang w:val="en-US"/>
        </w:rPr>
        <w:t>egulations. All applicants are therefore required to complete and submit a Subsidy Control Declaration.</w:t>
      </w:r>
    </w:p>
    <w:p w14:paraId="4D06F6E5" w14:textId="5EFD0CC0" w:rsidR="00E105BE" w:rsidRPr="00D2132A" w:rsidRDefault="00E105BE" w:rsidP="00E105BE">
      <w:pPr>
        <w:spacing w:before="100" w:beforeAutospacing="1" w:after="100" w:afterAutospacing="1"/>
        <w:rPr>
          <w:rFonts w:ascii="Calibri" w:eastAsia="Times New Roman" w:hAnsi="Calibri" w:cs="Calibri"/>
          <w:color w:val="auto"/>
          <w:sz w:val="22"/>
          <w:szCs w:val="22"/>
          <w:lang w:eastAsia="en-GB"/>
        </w:rPr>
      </w:pPr>
      <w:r w:rsidRPr="00D2132A">
        <w:rPr>
          <w:rFonts w:ascii="Calibri" w:eastAsia="Times New Roman" w:hAnsi="Calibri" w:cs="Calibri"/>
          <w:color w:val="auto"/>
          <w:sz w:val="22"/>
          <w:szCs w:val="22"/>
          <w:lang w:eastAsia="en-GB"/>
        </w:rPr>
        <w:t xml:space="preserve">Subsidy Control allows small amounts of public assistance (up to £315,000 over three rolling years or over a three year fiscal period) to be given to an enterprise as Minimal Financial Assistance (MFA). This ceiling takes into account all public assistance (aid) given within the qualifying period as either De Minimis Aid (under the previous EU State Aid regulations) or as MFA under the UK Subsidy Control </w:t>
      </w:r>
      <w:r w:rsidR="003F25F2" w:rsidRPr="00D2132A">
        <w:rPr>
          <w:rFonts w:ascii="Calibri" w:eastAsia="Times New Roman" w:hAnsi="Calibri" w:cs="Calibri"/>
          <w:color w:val="auto"/>
          <w:sz w:val="22"/>
          <w:szCs w:val="22"/>
          <w:lang w:eastAsia="en-GB"/>
        </w:rPr>
        <w:t>R</w:t>
      </w:r>
      <w:r w:rsidRPr="00D2132A">
        <w:rPr>
          <w:rFonts w:ascii="Calibri" w:eastAsia="Times New Roman" w:hAnsi="Calibri" w:cs="Calibri"/>
          <w:color w:val="auto"/>
          <w:sz w:val="22"/>
          <w:szCs w:val="22"/>
          <w:lang w:eastAsia="en-GB"/>
        </w:rPr>
        <w:t>egulations. Public assistance can take various forms (grants, loans, guarantees, subsidised contracts, etc). The UK Government webpage setting out the principles of Subsidy Control can be accessed through this link:</w:t>
      </w:r>
    </w:p>
    <w:p w14:paraId="1F3A8031" w14:textId="77777777" w:rsidR="00E105BE" w:rsidRPr="00794161" w:rsidRDefault="00E105BE" w:rsidP="00E105BE">
      <w:pPr>
        <w:spacing w:before="100" w:beforeAutospacing="1" w:after="100" w:afterAutospacing="1"/>
        <w:rPr>
          <w:rFonts w:ascii="Calibri" w:eastAsia="Times New Roman" w:hAnsi="Calibri" w:cs="Calibri"/>
          <w:color w:val="0070C0"/>
          <w:sz w:val="22"/>
          <w:szCs w:val="22"/>
          <w:lang w:eastAsia="en-GB"/>
        </w:rPr>
      </w:pPr>
      <w:hyperlink r:id="rId18" w:history="1">
        <w:r w:rsidRPr="00794161">
          <w:rPr>
            <w:rFonts w:ascii="Calibri" w:eastAsia="Times New Roman" w:hAnsi="Calibri" w:cs="Calibri"/>
            <w:color w:val="0070C0"/>
            <w:sz w:val="22"/>
            <w:szCs w:val="22"/>
            <w:u w:val="single"/>
            <w:lang w:eastAsia="en-GB"/>
          </w:rPr>
          <w:t>https://www.gov.uk/government/collections/subsidy-control-regime</w:t>
        </w:r>
      </w:hyperlink>
    </w:p>
    <w:p w14:paraId="659E20E0" w14:textId="4ED6503E" w:rsidR="00FF380B" w:rsidRPr="00D2132A" w:rsidRDefault="00FF380B" w:rsidP="00FF380B">
      <w:pPr>
        <w:autoSpaceDE w:val="0"/>
        <w:autoSpaceDN w:val="0"/>
        <w:adjustRightInd w:val="0"/>
        <w:rPr>
          <w:rFonts w:ascii="Calibri" w:hAnsi="Calibri" w:cs="Calibri"/>
          <w:color w:val="auto"/>
          <w:sz w:val="22"/>
          <w:szCs w:val="22"/>
        </w:rPr>
      </w:pPr>
      <w:r w:rsidRPr="00D2132A">
        <w:rPr>
          <w:rFonts w:ascii="Calibri" w:hAnsi="Calibri" w:cs="Calibri"/>
          <w:color w:val="auto"/>
          <w:sz w:val="22"/>
          <w:szCs w:val="22"/>
        </w:rPr>
        <w:t>Businesses are advised to seek advice to ensure that their application is compliant.</w:t>
      </w:r>
    </w:p>
    <w:p w14:paraId="027939C7" w14:textId="378E4CAE" w:rsidR="00295394" w:rsidRPr="00D2132A" w:rsidRDefault="00295394" w:rsidP="00B439E3">
      <w:pPr>
        <w:pStyle w:val="TOC-Sub"/>
        <w:outlineLvl w:val="1"/>
        <w:rPr>
          <w:color w:val="auto"/>
        </w:rPr>
      </w:pPr>
      <w:bookmarkStart w:id="49" w:name="_2.13_Procurement"/>
      <w:bookmarkStart w:id="50" w:name="_Toc152159662"/>
      <w:bookmarkStart w:id="51" w:name="_Toc157694440"/>
      <w:bookmarkEnd w:id="49"/>
      <w:r w:rsidRPr="00D2132A">
        <w:rPr>
          <w:color w:val="auto"/>
        </w:rPr>
        <w:t>2.1</w:t>
      </w:r>
      <w:r w:rsidR="004C0E8E" w:rsidRPr="00D2132A">
        <w:rPr>
          <w:color w:val="auto"/>
        </w:rPr>
        <w:t>3</w:t>
      </w:r>
      <w:r w:rsidRPr="00D2132A">
        <w:rPr>
          <w:color w:val="auto"/>
        </w:rPr>
        <w:tab/>
        <w:t>Procurement</w:t>
      </w:r>
      <w:bookmarkEnd w:id="50"/>
      <w:bookmarkEnd w:id="51"/>
    </w:p>
    <w:p w14:paraId="769623C4" w14:textId="4385FE56" w:rsidR="00295394" w:rsidRPr="00D2132A" w:rsidRDefault="00295394" w:rsidP="00EE05AE">
      <w:pPr>
        <w:pStyle w:val="Bodycopy"/>
        <w:jc w:val="both"/>
        <w:rPr>
          <w:rFonts w:ascii="Calibri" w:hAnsi="Calibri" w:cs="Calibri"/>
          <w:color w:val="auto"/>
          <w:sz w:val="22"/>
          <w:szCs w:val="22"/>
        </w:rPr>
      </w:pPr>
      <w:r w:rsidRPr="00D2132A">
        <w:rPr>
          <w:rFonts w:ascii="Calibri" w:hAnsi="Calibri" w:cs="Calibri"/>
          <w:color w:val="auto"/>
          <w:sz w:val="22"/>
          <w:szCs w:val="22"/>
        </w:rPr>
        <w:t xml:space="preserve">Applicants need to comply with the following procurement requirements: </w:t>
      </w:r>
    </w:p>
    <w:p w14:paraId="4D0DCF06" w14:textId="77777777" w:rsidR="00295394" w:rsidRPr="00D2132A" w:rsidRDefault="00295394" w:rsidP="00EE05AE">
      <w:pPr>
        <w:pStyle w:val="Bodycopy"/>
        <w:jc w:val="both"/>
        <w:rPr>
          <w:rFonts w:ascii="Calibri" w:hAnsi="Calibri" w:cs="Calibri"/>
          <w:color w:val="auto"/>
          <w:sz w:val="22"/>
          <w:szCs w:val="22"/>
        </w:rPr>
      </w:pPr>
    </w:p>
    <w:tbl>
      <w:tblPr>
        <w:tblStyle w:val="TableGrid"/>
        <w:tblW w:w="0" w:type="auto"/>
        <w:tblLook w:val="04A0" w:firstRow="1" w:lastRow="0" w:firstColumn="1" w:lastColumn="0" w:noHBand="0" w:noVBand="1"/>
      </w:tblPr>
      <w:tblGrid>
        <w:gridCol w:w="2972"/>
        <w:gridCol w:w="3686"/>
        <w:gridCol w:w="3402"/>
      </w:tblGrid>
      <w:tr w:rsidR="00D2132A" w:rsidRPr="00D2132A" w14:paraId="306EBB80" w14:textId="77777777" w:rsidTr="00295394">
        <w:tc>
          <w:tcPr>
            <w:tcW w:w="2972" w:type="dxa"/>
          </w:tcPr>
          <w:p w14:paraId="1BBCBECA" w14:textId="2A215B71" w:rsidR="00295394" w:rsidRPr="00D2132A" w:rsidRDefault="00295394" w:rsidP="00EE05AE">
            <w:pPr>
              <w:pStyle w:val="Bodycopy"/>
              <w:jc w:val="both"/>
              <w:rPr>
                <w:rFonts w:ascii="Calibri" w:hAnsi="Calibri" w:cs="Calibri"/>
                <w:b/>
                <w:bCs/>
                <w:color w:val="auto"/>
                <w:sz w:val="22"/>
                <w:szCs w:val="22"/>
              </w:rPr>
            </w:pPr>
            <w:r w:rsidRPr="00D2132A">
              <w:rPr>
                <w:rFonts w:ascii="Calibri" w:hAnsi="Calibri" w:cs="Calibri"/>
                <w:b/>
                <w:bCs/>
                <w:color w:val="auto"/>
                <w:sz w:val="22"/>
                <w:szCs w:val="22"/>
              </w:rPr>
              <w:t>Estimated Total Contract Value (inclusive of VAT)</w:t>
            </w:r>
          </w:p>
        </w:tc>
        <w:tc>
          <w:tcPr>
            <w:tcW w:w="3686" w:type="dxa"/>
          </w:tcPr>
          <w:p w14:paraId="32F01B08" w14:textId="634921F6" w:rsidR="00295394" w:rsidRPr="00D2132A" w:rsidRDefault="00295394" w:rsidP="00EE05AE">
            <w:pPr>
              <w:pStyle w:val="Bodycopy"/>
              <w:jc w:val="both"/>
              <w:rPr>
                <w:rFonts w:ascii="Calibri" w:hAnsi="Calibri" w:cs="Calibri"/>
                <w:b/>
                <w:bCs/>
                <w:color w:val="auto"/>
                <w:sz w:val="22"/>
                <w:szCs w:val="22"/>
              </w:rPr>
            </w:pPr>
            <w:r w:rsidRPr="00D2132A">
              <w:rPr>
                <w:rFonts w:ascii="Calibri" w:hAnsi="Calibri" w:cs="Calibri"/>
                <w:b/>
                <w:bCs/>
                <w:color w:val="auto"/>
                <w:sz w:val="22"/>
                <w:szCs w:val="22"/>
              </w:rPr>
              <w:t>Minimum Process</w:t>
            </w:r>
          </w:p>
        </w:tc>
        <w:tc>
          <w:tcPr>
            <w:tcW w:w="3402" w:type="dxa"/>
          </w:tcPr>
          <w:p w14:paraId="4049DEF8" w14:textId="3211247E" w:rsidR="00295394" w:rsidRPr="00D2132A" w:rsidRDefault="00295394" w:rsidP="00EE05AE">
            <w:pPr>
              <w:pStyle w:val="Bodycopy"/>
              <w:jc w:val="both"/>
              <w:rPr>
                <w:rFonts w:ascii="Calibri" w:hAnsi="Calibri" w:cs="Calibri"/>
                <w:b/>
                <w:bCs/>
                <w:color w:val="auto"/>
                <w:sz w:val="22"/>
                <w:szCs w:val="22"/>
              </w:rPr>
            </w:pPr>
            <w:r w:rsidRPr="00D2132A">
              <w:rPr>
                <w:rFonts w:ascii="Calibri" w:hAnsi="Calibri" w:cs="Calibri"/>
                <w:b/>
                <w:bCs/>
                <w:color w:val="auto"/>
                <w:sz w:val="22"/>
                <w:szCs w:val="22"/>
              </w:rPr>
              <w:t>Method of Invitation</w:t>
            </w:r>
          </w:p>
        </w:tc>
      </w:tr>
      <w:tr w:rsidR="00D2132A" w:rsidRPr="00D2132A" w14:paraId="50B926EA" w14:textId="77777777" w:rsidTr="00295394">
        <w:tc>
          <w:tcPr>
            <w:tcW w:w="2972" w:type="dxa"/>
          </w:tcPr>
          <w:p w14:paraId="231BE5F5" w14:textId="3FAF8CCF" w:rsidR="00295394" w:rsidRPr="00D2132A" w:rsidRDefault="00295394" w:rsidP="00EE05AE">
            <w:pPr>
              <w:pStyle w:val="Bodycopy"/>
              <w:jc w:val="both"/>
              <w:rPr>
                <w:rFonts w:ascii="Calibri" w:hAnsi="Calibri" w:cs="Calibri"/>
                <w:color w:val="auto"/>
                <w:sz w:val="22"/>
                <w:szCs w:val="22"/>
              </w:rPr>
            </w:pPr>
            <w:r w:rsidRPr="00D2132A">
              <w:rPr>
                <w:rFonts w:ascii="Calibri" w:hAnsi="Calibri" w:cs="Calibri"/>
                <w:color w:val="auto"/>
                <w:sz w:val="22"/>
                <w:szCs w:val="22"/>
              </w:rPr>
              <w:t>Up to £2,000</w:t>
            </w:r>
          </w:p>
        </w:tc>
        <w:tc>
          <w:tcPr>
            <w:tcW w:w="3686" w:type="dxa"/>
          </w:tcPr>
          <w:p w14:paraId="0051B449" w14:textId="53F2BE20" w:rsidR="00295394" w:rsidRPr="00D2132A" w:rsidRDefault="00295394" w:rsidP="00EE05AE">
            <w:pPr>
              <w:pStyle w:val="Bodycopy"/>
              <w:jc w:val="both"/>
              <w:rPr>
                <w:rFonts w:ascii="Calibri" w:hAnsi="Calibri" w:cs="Calibri"/>
                <w:color w:val="auto"/>
                <w:sz w:val="22"/>
                <w:szCs w:val="22"/>
              </w:rPr>
            </w:pPr>
            <w:r w:rsidRPr="00D2132A">
              <w:rPr>
                <w:rFonts w:ascii="Calibri" w:hAnsi="Calibri" w:cs="Calibri"/>
                <w:color w:val="auto"/>
                <w:sz w:val="22"/>
                <w:szCs w:val="22"/>
              </w:rPr>
              <w:t>The responsible officer must use a process which obtains best value for money</w:t>
            </w:r>
          </w:p>
        </w:tc>
        <w:tc>
          <w:tcPr>
            <w:tcW w:w="3402" w:type="dxa"/>
          </w:tcPr>
          <w:p w14:paraId="597E048C" w14:textId="098A414D" w:rsidR="00295394" w:rsidRPr="00D2132A" w:rsidRDefault="00295394" w:rsidP="00EE05AE">
            <w:pPr>
              <w:pStyle w:val="Bodycopy"/>
              <w:jc w:val="both"/>
              <w:rPr>
                <w:rFonts w:ascii="Calibri" w:hAnsi="Calibri" w:cs="Calibri"/>
                <w:color w:val="auto"/>
                <w:sz w:val="22"/>
                <w:szCs w:val="22"/>
              </w:rPr>
            </w:pPr>
            <w:r w:rsidRPr="00D2132A">
              <w:rPr>
                <w:rFonts w:ascii="Calibri" w:hAnsi="Calibri" w:cs="Calibri"/>
                <w:color w:val="auto"/>
                <w:sz w:val="22"/>
                <w:szCs w:val="22"/>
              </w:rPr>
              <w:t>1 oral quotation (confirmed in writing where the quotation exceeds £500)</w:t>
            </w:r>
          </w:p>
        </w:tc>
      </w:tr>
      <w:tr w:rsidR="00D2132A" w:rsidRPr="00D2132A" w14:paraId="0C3F3394" w14:textId="77777777" w:rsidTr="00295394">
        <w:tc>
          <w:tcPr>
            <w:tcW w:w="2972" w:type="dxa"/>
          </w:tcPr>
          <w:p w14:paraId="6A16C150" w14:textId="5AB5300A" w:rsidR="00295394" w:rsidRPr="00D2132A" w:rsidRDefault="00295394" w:rsidP="00EE05AE">
            <w:pPr>
              <w:pStyle w:val="Bodycopy"/>
              <w:jc w:val="both"/>
              <w:rPr>
                <w:rFonts w:ascii="Calibri" w:hAnsi="Calibri" w:cs="Calibri"/>
                <w:color w:val="auto"/>
                <w:sz w:val="22"/>
                <w:szCs w:val="22"/>
              </w:rPr>
            </w:pPr>
            <w:r w:rsidRPr="00D2132A">
              <w:rPr>
                <w:rFonts w:ascii="Calibri" w:hAnsi="Calibri" w:cs="Calibri"/>
                <w:color w:val="auto"/>
                <w:sz w:val="22"/>
                <w:szCs w:val="22"/>
              </w:rPr>
              <w:t>£2,001 - £50,000</w:t>
            </w:r>
          </w:p>
        </w:tc>
        <w:tc>
          <w:tcPr>
            <w:tcW w:w="3686" w:type="dxa"/>
          </w:tcPr>
          <w:p w14:paraId="06030B5C" w14:textId="6870A239" w:rsidR="00295394" w:rsidRPr="00D2132A" w:rsidRDefault="00295394" w:rsidP="00EE05AE">
            <w:pPr>
              <w:pStyle w:val="Bodycopy"/>
              <w:jc w:val="both"/>
              <w:rPr>
                <w:rFonts w:ascii="Calibri" w:hAnsi="Calibri" w:cs="Calibri"/>
                <w:color w:val="auto"/>
                <w:sz w:val="22"/>
                <w:szCs w:val="22"/>
              </w:rPr>
            </w:pPr>
            <w:r w:rsidRPr="00D2132A">
              <w:rPr>
                <w:rFonts w:ascii="Calibri" w:hAnsi="Calibri" w:cs="Calibri"/>
                <w:color w:val="auto"/>
                <w:sz w:val="22"/>
                <w:szCs w:val="22"/>
              </w:rPr>
              <w:t>2 written quotations</w:t>
            </w:r>
          </w:p>
        </w:tc>
        <w:tc>
          <w:tcPr>
            <w:tcW w:w="3402" w:type="dxa"/>
          </w:tcPr>
          <w:p w14:paraId="3DD76E1C" w14:textId="20E44779" w:rsidR="00295394" w:rsidRPr="00D2132A" w:rsidRDefault="00295394" w:rsidP="00EE05AE">
            <w:pPr>
              <w:pStyle w:val="Bodycopy"/>
              <w:jc w:val="both"/>
              <w:rPr>
                <w:rFonts w:ascii="Calibri" w:hAnsi="Calibri" w:cs="Calibri"/>
                <w:color w:val="auto"/>
                <w:sz w:val="22"/>
                <w:szCs w:val="22"/>
              </w:rPr>
            </w:pPr>
            <w:r w:rsidRPr="00D2132A">
              <w:rPr>
                <w:rFonts w:ascii="Calibri" w:hAnsi="Calibri" w:cs="Calibri"/>
                <w:color w:val="auto"/>
                <w:sz w:val="22"/>
                <w:szCs w:val="22"/>
              </w:rPr>
              <w:t>Invitation to submit a quotation in writing to at least 2 candidates</w:t>
            </w:r>
          </w:p>
        </w:tc>
      </w:tr>
      <w:tr w:rsidR="00D2132A" w:rsidRPr="00D2132A" w14:paraId="0C61BA50" w14:textId="77777777" w:rsidTr="00295394">
        <w:tc>
          <w:tcPr>
            <w:tcW w:w="2972" w:type="dxa"/>
          </w:tcPr>
          <w:p w14:paraId="6FAA7A39" w14:textId="71CEA33E" w:rsidR="00295394" w:rsidRPr="00D2132A" w:rsidRDefault="00295394" w:rsidP="00EE05AE">
            <w:pPr>
              <w:pStyle w:val="Bodycopy"/>
              <w:jc w:val="both"/>
              <w:rPr>
                <w:rFonts w:ascii="Calibri" w:hAnsi="Calibri" w:cs="Calibri"/>
                <w:color w:val="auto"/>
                <w:sz w:val="22"/>
                <w:szCs w:val="22"/>
              </w:rPr>
            </w:pPr>
            <w:r w:rsidRPr="00D2132A">
              <w:rPr>
                <w:rFonts w:ascii="Calibri" w:hAnsi="Calibri" w:cs="Calibri"/>
                <w:color w:val="auto"/>
                <w:sz w:val="22"/>
                <w:szCs w:val="22"/>
              </w:rPr>
              <w:t>£50,001 - £100,000</w:t>
            </w:r>
          </w:p>
        </w:tc>
        <w:tc>
          <w:tcPr>
            <w:tcW w:w="3686" w:type="dxa"/>
          </w:tcPr>
          <w:p w14:paraId="7A1FC527" w14:textId="40F1368F" w:rsidR="00295394" w:rsidRPr="00D2132A" w:rsidRDefault="00295394" w:rsidP="00EE05AE">
            <w:pPr>
              <w:pStyle w:val="Bodycopy"/>
              <w:jc w:val="both"/>
              <w:rPr>
                <w:rFonts w:ascii="Calibri" w:hAnsi="Calibri" w:cs="Calibri"/>
                <w:color w:val="auto"/>
                <w:sz w:val="22"/>
                <w:szCs w:val="22"/>
              </w:rPr>
            </w:pPr>
            <w:r w:rsidRPr="00D2132A">
              <w:rPr>
                <w:rFonts w:ascii="Calibri" w:hAnsi="Calibri" w:cs="Calibri"/>
                <w:color w:val="auto"/>
                <w:sz w:val="22"/>
                <w:szCs w:val="22"/>
              </w:rPr>
              <w:t>3 written quotations</w:t>
            </w:r>
          </w:p>
        </w:tc>
        <w:tc>
          <w:tcPr>
            <w:tcW w:w="3402" w:type="dxa"/>
          </w:tcPr>
          <w:p w14:paraId="2FDB7177" w14:textId="475F4F20" w:rsidR="00295394" w:rsidRPr="00D2132A" w:rsidRDefault="00295394" w:rsidP="00EE05AE">
            <w:pPr>
              <w:pStyle w:val="Bodycopy"/>
              <w:jc w:val="both"/>
              <w:rPr>
                <w:rFonts w:ascii="Calibri" w:hAnsi="Calibri" w:cs="Calibri"/>
                <w:color w:val="auto"/>
                <w:sz w:val="22"/>
                <w:szCs w:val="22"/>
              </w:rPr>
            </w:pPr>
            <w:r w:rsidRPr="00D2132A">
              <w:rPr>
                <w:rFonts w:ascii="Calibri" w:hAnsi="Calibri" w:cs="Calibri"/>
                <w:color w:val="auto"/>
                <w:sz w:val="22"/>
                <w:szCs w:val="22"/>
              </w:rPr>
              <w:t>Invitation to submit a quotation in writing to at least 3 candidates</w:t>
            </w:r>
          </w:p>
        </w:tc>
      </w:tr>
      <w:tr w:rsidR="00295394" w:rsidRPr="00D2132A" w14:paraId="6F27D25A" w14:textId="77777777" w:rsidTr="00295394">
        <w:tc>
          <w:tcPr>
            <w:tcW w:w="2972" w:type="dxa"/>
          </w:tcPr>
          <w:p w14:paraId="1C355739" w14:textId="4CFC815A" w:rsidR="00295394" w:rsidRPr="00D2132A" w:rsidRDefault="00295394" w:rsidP="00EE05AE">
            <w:pPr>
              <w:pStyle w:val="Bodycopy"/>
              <w:jc w:val="both"/>
              <w:rPr>
                <w:rFonts w:ascii="Calibri" w:hAnsi="Calibri" w:cs="Calibri"/>
                <w:color w:val="auto"/>
                <w:sz w:val="22"/>
                <w:szCs w:val="22"/>
              </w:rPr>
            </w:pPr>
            <w:r w:rsidRPr="00D2132A">
              <w:rPr>
                <w:rFonts w:ascii="Calibri" w:hAnsi="Calibri" w:cs="Calibri"/>
                <w:color w:val="auto"/>
                <w:sz w:val="22"/>
                <w:szCs w:val="22"/>
              </w:rPr>
              <w:t>Exceeding £100,000 but below relevant procurement threshold</w:t>
            </w:r>
          </w:p>
        </w:tc>
        <w:tc>
          <w:tcPr>
            <w:tcW w:w="3686" w:type="dxa"/>
          </w:tcPr>
          <w:p w14:paraId="455FD61C" w14:textId="7245AC39" w:rsidR="00295394" w:rsidRPr="00D2132A" w:rsidRDefault="00295394" w:rsidP="00EE05AE">
            <w:pPr>
              <w:pStyle w:val="Bodycopy"/>
              <w:jc w:val="both"/>
              <w:rPr>
                <w:rFonts w:ascii="Calibri" w:hAnsi="Calibri" w:cs="Calibri"/>
                <w:color w:val="auto"/>
                <w:sz w:val="22"/>
                <w:szCs w:val="22"/>
              </w:rPr>
            </w:pPr>
            <w:r w:rsidRPr="00D2132A">
              <w:rPr>
                <w:rFonts w:ascii="Calibri" w:hAnsi="Calibri" w:cs="Calibri"/>
                <w:color w:val="auto"/>
                <w:sz w:val="22"/>
                <w:szCs w:val="22"/>
              </w:rPr>
              <w:t>Written Tender</w:t>
            </w:r>
          </w:p>
        </w:tc>
        <w:tc>
          <w:tcPr>
            <w:tcW w:w="3402" w:type="dxa"/>
          </w:tcPr>
          <w:p w14:paraId="08A5D70D" w14:textId="0798E743" w:rsidR="00295394" w:rsidRPr="00D2132A" w:rsidRDefault="00295394" w:rsidP="00EE05AE">
            <w:pPr>
              <w:pStyle w:val="Bodycopy"/>
              <w:jc w:val="both"/>
              <w:rPr>
                <w:rFonts w:ascii="Calibri" w:hAnsi="Calibri" w:cs="Calibri"/>
                <w:color w:val="auto"/>
                <w:sz w:val="22"/>
                <w:szCs w:val="22"/>
              </w:rPr>
            </w:pPr>
            <w:r w:rsidRPr="00D2132A">
              <w:rPr>
                <w:rFonts w:ascii="Calibri" w:hAnsi="Calibri" w:cs="Calibri"/>
                <w:color w:val="auto"/>
                <w:sz w:val="22"/>
                <w:szCs w:val="22"/>
              </w:rPr>
              <w:t>Open advertisement of contract appropriate to the relevant market</w:t>
            </w:r>
          </w:p>
        </w:tc>
      </w:tr>
    </w:tbl>
    <w:p w14:paraId="1B39E3DF" w14:textId="77777777" w:rsidR="00295394" w:rsidRPr="00D2132A" w:rsidRDefault="00295394" w:rsidP="00EE05AE">
      <w:pPr>
        <w:pStyle w:val="Bodycopy"/>
        <w:jc w:val="both"/>
        <w:rPr>
          <w:rFonts w:ascii="Calibri" w:hAnsi="Calibri" w:cs="Calibri"/>
          <w:color w:val="auto"/>
          <w:sz w:val="22"/>
          <w:szCs w:val="22"/>
        </w:rPr>
      </w:pPr>
    </w:p>
    <w:p w14:paraId="2CD381FC" w14:textId="77777777" w:rsidR="00B83485" w:rsidRPr="00FF380B" w:rsidRDefault="00B83485" w:rsidP="00EE05AE">
      <w:pPr>
        <w:pStyle w:val="Bodycopy"/>
        <w:jc w:val="both"/>
        <w:rPr>
          <w:rFonts w:ascii="Calibri" w:hAnsi="Calibri" w:cs="Calibri"/>
          <w:color w:val="auto"/>
          <w:sz w:val="22"/>
          <w:szCs w:val="22"/>
        </w:rPr>
      </w:pPr>
    </w:p>
    <w:p w14:paraId="06F5F217" w14:textId="38FDB8FA" w:rsidR="00CA6DB6" w:rsidRPr="00C87756" w:rsidRDefault="00C87756" w:rsidP="00B439E3">
      <w:pPr>
        <w:pStyle w:val="TOCHeader"/>
        <w:outlineLvl w:val="0"/>
      </w:pPr>
      <w:bookmarkStart w:id="52" w:name="_3.0_PROJECT_TIMESCALES"/>
      <w:bookmarkStart w:id="53" w:name="_Toc385964245"/>
      <w:bookmarkStart w:id="54" w:name="_Toc9585314"/>
      <w:bookmarkStart w:id="55" w:name="_Toc157694441"/>
      <w:bookmarkEnd w:id="52"/>
      <w:r w:rsidRPr="00C87756">
        <w:t>3.0</w:t>
      </w:r>
      <w:r w:rsidRPr="00C87756">
        <w:tab/>
      </w:r>
      <w:r w:rsidR="00CA6DB6" w:rsidRPr="00C87756">
        <w:t>P</w:t>
      </w:r>
      <w:bookmarkEnd w:id="53"/>
      <w:bookmarkEnd w:id="54"/>
      <w:r w:rsidR="009821AE">
        <w:t>ROJECT TIMESCALES</w:t>
      </w:r>
      <w:bookmarkEnd w:id="55"/>
    </w:p>
    <w:p w14:paraId="24551C6C" w14:textId="56B5E217" w:rsidR="00CA6DB6" w:rsidRPr="00D2132A" w:rsidRDefault="008A79F0" w:rsidP="001670B2">
      <w:pPr>
        <w:rPr>
          <w:rFonts w:ascii="Calibri" w:hAnsi="Calibri" w:cs="Calibri"/>
          <w:color w:val="auto"/>
          <w:sz w:val="22"/>
          <w:szCs w:val="22"/>
        </w:rPr>
      </w:pPr>
      <w:r w:rsidRPr="00D2132A">
        <w:rPr>
          <w:rFonts w:ascii="Calibri" w:hAnsi="Calibri" w:cs="Calibri"/>
          <w:color w:val="auto"/>
          <w:sz w:val="22"/>
          <w:szCs w:val="22"/>
        </w:rPr>
        <w:t xml:space="preserve">Activity must be completed and final claims submitted by </w:t>
      </w:r>
      <w:r w:rsidR="00EE05AE" w:rsidRPr="00D627C0">
        <w:rPr>
          <w:rFonts w:ascii="Calibri" w:hAnsi="Calibri" w:cs="Calibri"/>
          <w:color w:val="auto"/>
          <w:sz w:val="22"/>
          <w:szCs w:val="22"/>
        </w:rPr>
        <w:t>31.1.2</w:t>
      </w:r>
      <w:r w:rsidR="00B46923" w:rsidRPr="00D627C0">
        <w:rPr>
          <w:rFonts w:ascii="Calibri" w:hAnsi="Calibri" w:cs="Calibri"/>
          <w:color w:val="auto"/>
          <w:sz w:val="22"/>
          <w:szCs w:val="22"/>
        </w:rPr>
        <w:t>6</w:t>
      </w:r>
      <w:r w:rsidR="00647624" w:rsidRPr="00D2132A">
        <w:rPr>
          <w:rFonts w:ascii="Calibri" w:hAnsi="Calibri" w:cs="Calibri"/>
          <w:color w:val="auto"/>
          <w:sz w:val="22"/>
          <w:szCs w:val="22"/>
        </w:rPr>
        <w:t>.</w:t>
      </w:r>
      <w:r w:rsidR="00EE05AE" w:rsidRPr="00D2132A">
        <w:rPr>
          <w:rFonts w:ascii="Calibri" w:hAnsi="Calibri" w:cs="Calibri"/>
          <w:color w:val="auto"/>
          <w:sz w:val="22"/>
          <w:szCs w:val="22"/>
        </w:rPr>
        <w:t xml:space="preserve"> </w:t>
      </w:r>
      <w:r w:rsidR="00CA6DB6" w:rsidRPr="00D2132A">
        <w:rPr>
          <w:rFonts w:ascii="Calibri" w:hAnsi="Calibri" w:cs="Calibri"/>
          <w:color w:val="auto"/>
          <w:sz w:val="22"/>
          <w:szCs w:val="22"/>
        </w:rPr>
        <w:t xml:space="preserve">No claims for grant payments </w:t>
      </w:r>
      <w:r w:rsidR="00B87C67" w:rsidRPr="00D2132A">
        <w:rPr>
          <w:rFonts w:ascii="Calibri" w:hAnsi="Calibri" w:cs="Calibri"/>
          <w:color w:val="auto"/>
          <w:sz w:val="22"/>
          <w:szCs w:val="22"/>
        </w:rPr>
        <w:t>can</w:t>
      </w:r>
      <w:r w:rsidR="00CA6DB6" w:rsidRPr="00D2132A">
        <w:rPr>
          <w:rFonts w:ascii="Calibri" w:hAnsi="Calibri" w:cs="Calibri"/>
          <w:color w:val="auto"/>
          <w:sz w:val="22"/>
          <w:szCs w:val="22"/>
        </w:rPr>
        <w:t xml:space="preserve"> be accepted after </w:t>
      </w:r>
      <w:r w:rsidR="00EE05AE" w:rsidRPr="00D2132A">
        <w:rPr>
          <w:rFonts w:ascii="Calibri" w:hAnsi="Calibri" w:cs="Calibri"/>
          <w:color w:val="auto"/>
          <w:sz w:val="22"/>
          <w:szCs w:val="22"/>
        </w:rPr>
        <w:t>that date. Individual final claim dates will be specified in each offer letter.</w:t>
      </w:r>
    </w:p>
    <w:p w14:paraId="7EDC3726" w14:textId="77777777" w:rsidR="00B76FAB" w:rsidRDefault="00B76FAB" w:rsidP="00E535F3">
      <w:pPr>
        <w:pStyle w:val="Bodycopy"/>
        <w:rPr>
          <w:rFonts w:ascii="Calibri" w:hAnsi="Calibri" w:cs="Calibri"/>
          <w:sz w:val="22"/>
          <w:szCs w:val="22"/>
        </w:rPr>
      </w:pPr>
    </w:p>
    <w:p w14:paraId="7AA2F99A" w14:textId="77777777" w:rsidR="00B76FAB" w:rsidRPr="00C87756" w:rsidRDefault="00B76FAB" w:rsidP="00E535F3">
      <w:pPr>
        <w:pStyle w:val="Bodycopy"/>
        <w:rPr>
          <w:rFonts w:ascii="Calibri" w:hAnsi="Calibri" w:cs="Calibri"/>
          <w:sz w:val="22"/>
          <w:szCs w:val="22"/>
        </w:rPr>
      </w:pPr>
    </w:p>
    <w:p w14:paraId="7B809B1C" w14:textId="09B0D182" w:rsidR="00CA6DB6" w:rsidRPr="00C87756" w:rsidRDefault="0084472B" w:rsidP="00B439E3">
      <w:pPr>
        <w:pStyle w:val="TOCHeader"/>
        <w:outlineLvl w:val="0"/>
      </w:pPr>
      <w:bookmarkStart w:id="56" w:name="_4.0_LEVEL_OF"/>
      <w:bookmarkStart w:id="57" w:name="_Toc385964248"/>
      <w:bookmarkStart w:id="58" w:name="_Toc9585317"/>
      <w:bookmarkStart w:id="59" w:name="_Toc157694442"/>
      <w:bookmarkEnd w:id="56"/>
      <w:r>
        <w:lastRenderedPageBreak/>
        <w:t>4.0</w:t>
      </w:r>
      <w:r>
        <w:tab/>
      </w:r>
      <w:r w:rsidR="00CA6DB6" w:rsidRPr="00C87756">
        <w:t>L</w:t>
      </w:r>
      <w:bookmarkEnd w:id="57"/>
      <w:bookmarkEnd w:id="58"/>
      <w:r w:rsidR="009821AE">
        <w:t>EVEL OF GRANT SUPPORT</w:t>
      </w:r>
      <w:bookmarkEnd w:id="59"/>
    </w:p>
    <w:p w14:paraId="414AD92F" w14:textId="572A5756" w:rsidR="004C5F44" w:rsidRPr="00D2132A" w:rsidRDefault="001670B2" w:rsidP="008B4917">
      <w:pPr>
        <w:pStyle w:val="Bodycopy"/>
        <w:jc w:val="both"/>
        <w:rPr>
          <w:rFonts w:ascii="Calibri" w:hAnsi="Calibri" w:cs="Calibri"/>
          <w:color w:val="auto"/>
          <w:sz w:val="22"/>
          <w:szCs w:val="22"/>
        </w:rPr>
      </w:pPr>
      <w:r w:rsidRPr="00D2132A">
        <w:rPr>
          <w:rFonts w:ascii="Calibri" w:hAnsi="Calibri" w:cs="Calibri"/>
          <w:color w:val="auto"/>
          <w:sz w:val="22"/>
          <w:szCs w:val="22"/>
        </w:rPr>
        <w:t>T</w:t>
      </w:r>
      <w:r w:rsidR="00CA6DB6" w:rsidRPr="00D2132A">
        <w:rPr>
          <w:rFonts w:ascii="Calibri" w:hAnsi="Calibri" w:cs="Calibri"/>
          <w:color w:val="auto"/>
          <w:sz w:val="22"/>
          <w:szCs w:val="22"/>
        </w:rPr>
        <w:t xml:space="preserve">he minimum grant available </w:t>
      </w:r>
      <w:r w:rsidR="00BA560B" w:rsidRPr="00D2132A">
        <w:rPr>
          <w:rFonts w:ascii="Calibri" w:hAnsi="Calibri" w:cs="Calibri"/>
          <w:color w:val="auto"/>
          <w:sz w:val="22"/>
          <w:szCs w:val="22"/>
        </w:rPr>
        <w:t xml:space="preserve">is </w:t>
      </w:r>
      <w:r w:rsidR="00CA6DB6" w:rsidRPr="00D2132A">
        <w:rPr>
          <w:rFonts w:ascii="Calibri" w:hAnsi="Calibri" w:cs="Calibri"/>
          <w:color w:val="auto"/>
          <w:sz w:val="22"/>
          <w:szCs w:val="22"/>
        </w:rPr>
        <w:t>£</w:t>
      </w:r>
      <w:r w:rsidR="00EE05AE" w:rsidRPr="00D2132A">
        <w:rPr>
          <w:rFonts w:ascii="Calibri" w:hAnsi="Calibri" w:cs="Calibri"/>
          <w:color w:val="auto"/>
          <w:sz w:val="22"/>
          <w:szCs w:val="22"/>
        </w:rPr>
        <w:t>1</w:t>
      </w:r>
      <w:r w:rsidR="00CA6DB6" w:rsidRPr="00D2132A">
        <w:rPr>
          <w:rFonts w:ascii="Calibri" w:hAnsi="Calibri" w:cs="Calibri"/>
          <w:color w:val="auto"/>
          <w:sz w:val="22"/>
          <w:szCs w:val="22"/>
        </w:rPr>
        <w:t>,000 per project</w:t>
      </w:r>
      <w:r w:rsidR="00EE05AE" w:rsidRPr="00D2132A">
        <w:rPr>
          <w:rFonts w:ascii="Calibri" w:hAnsi="Calibri" w:cs="Calibri"/>
          <w:color w:val="auto"/>
          <w:sz w:val="22"/>
          <w:szCs w:val="22"/>
        </w:rPr>
        <w:t>.</w:t>
      </w:r>
      <w:r w:rsidR="008B4917" w:rsidRPr="00D2132A">
        <w:rPr>
          <w:rFonts w:ascii="Calibri" w:hAnsi="Calibri" w:cs="Calibri"/>
          <w:color w:val="auto"/>
          <w:sz w:val="22"/>
          <w:szCs w:val="22"/>
        </w:rPr>
        <w:t xml:space="preserve"> </w:t>
      </w:r>
      <w:r w:rsidR="00830734" w:rsidRPr="00D2132A">
        <w:rPr>
          <w:rFonts w:ascii="Calibri" w:hAnsi="Calibri" w:cs="Calibri"/>
          <w:color w:val="auto"/>
          <w:sz w:val="22"/>
          <w:szCs w:val="22"/>
        </w:rPr>
        <w:t>The average anticipated grant is £</w:t>
      </w:r>
      <w:r w:rsidR="00A4090B" w:rsidRPr="00D627C0">
        <w:rPr>
          <w:rFonts w:ascii="Calibri" w:hAnsi="Calibri" w:cs="Calibri"/>
          <w:color w:val="auto"/>
          <w:sz w:val="22"/>
          <w:szCs w:val="22"/>
        </w:rPr>
        <w:t>12,500</w:t>
      </w:r>
      <w:r w:rsidR="00830734" w:rsidRPr="00D627C0">
        <w:rPr>
          <w:rFonts w:ascii="Calibri" w:hAnsi="Calibri" w:cs="Calibri"/>
          <w:color w:val="auto"/>
          <w:sz w:val="22"/>
          <w:szCs w:val="22"/>
        </w:rPr>
        <w:t>.</w:t>
      </w:r>
      <w:r w:rsidR="00830734" w:rsidRPr="00D2132A">
        <w:rPr>
          <w:rFonts w:ascii="Calibri" w:hAnsi="Calibri" w:cs="Calibri"/>
          <w:color w:val="auto"/>
          <w:sz w:val="22"/>
          <w:szCs w:val="22"/>
        </w:rPr>
        <w:t xml:space="preserve"> </w:t>
      </w:r>
      <w:r w:rsidR="00EC51B8" w:rsidRPr="00D2132A">
        <w:rPr>
          <w:rFonts w:ascii="Calibri" w:hAnsi="Calibri" w:cs="Calibri"/>
          <w:color w:val="auto"/>
          <w:sz w:val="22"/>
          <w:szCs w:val="22"/>
        </w:rPr>
        <w:t xml:space="preserve">The maximum grant rate is </w:t>
      </w:r>
      <w:r w:rsidR="00A4090B" w:rsidRPr="00D627C0">
        <w:rPr>
          <w:rFonts w:ascii="Calibri" w:hAnsi="Calibri" w:cs="Calibri"/>
          <w:color w:val="auto"/>
          <w:sz w:val="22"/>
          <w:szCs w:val="22"/>
        </w:rPr>
        <w:t>50</w:t>
      </w:r>
      <w:r w:rsidR="00EC51B8" w:rsidRPr="00D627C0">
        <w:rPr>
          <w:rFonts w:ascii="Calibri" w:hAnsi="Calibri" w:cs="Calibri"/>
          <w:color w:val="auto"/>
          <w:sz w:val="22"/>
          <w:szCs w:val="22"/>
        </w:rPr>
        <w:t>%</w:t>
      </w:r>
      <w:r w:rsidR="00EC51B8" w:rsidRPr="00D2132A">
        <w:rPr>
          <w:rFonts w:ascii="Calibri" w:hAnsi="Calibri" w:cs="Calibri"/>
          <w:color w:val="auto"/>
          <w:sz w:val="22"/>
          <w:szCs w:val="22"/>
        </w:rPr>
        <w:t xml:space="preserve"> of eligible project costs. The grant amount must not be more than the minimum required to enable the project to happen at the proposed scale and timing at that location.</w:t>
      </w:r>
    </w:p>
    <w:p w14:paraId="7EF04353" w14:textId="77777777" w:rsidR="004C5F44" w:rsidRDefault="004C5F44" w:rsidP="00F7058B">
      <w:pPr>
        <w:pStyle w:val="Bodycopy"/>
        <w:rPr>
          <w:rFonts w:ascii="Calibri" w:hAnsi="Calibri" w:cs="Calibri"/>
          <w:b/>
          <w:bCs/>
          <w:caps/>
          <w:color w:val="198897"/>
          <w:sz w:val="22"/>
          <w:szCs w:val="22"/>
        </w:rPr>
      </w:pPr>
    </w:p>
    <w:p w14:paraId="5EF4D1F4" w14:textId="6B5E2FD6" w:rsidR="00F7058B" w:rsidRPr="009215F5" w:rsidRDefault="00EE05AE" w:rsidP="00B439E3">
      <w:pPr>
        <w:pStyle w:val="TOCHeader"/>
        <w:outlineLvl w:val="0"/>
      </w:pPr>
      <w:bookmarkStart w:id="60" w:name="_Toc157694443"/>
      <w:r w:rsidRPr="009215F5">
        <w:t>5</w:t>
      </w:r>
      <w:r w:rsidR="00324423" w:rsidRPr="009215F5">
        <w:t>.0</w:t>
      </w:r>
      <w:r w:rsidR="00324423" w:rsidRPr="009215F5">
        <w:tab/>
      </w:r>
      <w:r w:rsidR="00F7058B" w:rsidRPr="009215F5">
        <w:t>O</w:t>
      </w:r>
      <w:r w:rsidR="00B63B12">
        <w:t>UTPUTS AND OUTCOMES</w:t>
      </w:r>
      <w:bookmarkEnd w:id="60"/>
      <w:r w:rsidR="00F7058B" w:rsidRPr="009215F5">
        <w:t xml:space="preserve"> </w:t>
      </w:r>
    </w:p>
    <w:p w14:paraId="71276976" w14:textId="193E905E" w:rsidR="00F7058B" w:rsidRPr="00D2132A" w:rsidRDefault="00EE05AE" w:rsidP="00B439E3">
      <w:pPr>
        <w:pStyle w:val="TOC-Sub"/>
        <w:outlineLvl w:val="1"/>
        <w:rPr>
          <w:color w:val="auto"/>
        </w:rPr>
      </w:pPr>
      <w:bookmarkStart w:id="61" w:name="_Toc9585322"/>
      <w:bookmarkStart w:id="62" w:name="_Toc152159666"/>
      <w:bookmarkStart w:id="63" w:name="_Toc157694444"/>
      <w:r w:rsidRPr="00D2132A">
        <w:rPr>
          <w:color w:val="auto"/>
        </w:rPr>
        <w:t>5</w:t>
      </w:r>
      <w:r w:rsidR="00324423" w:rsidRPr="00D2132A">
        <w:rPr>
          <w:color w:val="auto"/>
        </w:rPr>
        <w:t>.1</w:t>
      </w:r>
      <w:r w:rsidR="00324423" w:rsidRPr="00D2132A">
        <w:rPr>
          <w:color w:val="auto"/>
        </w:rPr>
        <w:tab/>
      </w:r>
      <w:r w:rsidR="00F7058B" w:rsidRPr="00D2132A">
        <w:rPr>
          <w:color w:val="auto"/>
        </w:rPr>
        <w:t xml:space="preserve">Creation of </w:t>
      </w:r>
      <w:r w:rsidR="00324423" w:rsidRPr="00D2132A">
        <w:rPr>
          <w:color w:val="auto"/>
        </w:rPr>
        <w:t>J</w:t>
      </w:r>
      <w:r w:rsidR="00F7058B" w:rsidRPr="00D2132A">
        <w:rPr>
          <w:color w:val="auto"/>
        </w:rPr>
        <w:t>obs</w:t>
      </w:r>
      <w:bookmarkEnd w:id="61"/>
      <w:bookmarkEnd w:id="62"/>
      <w:bookmarkEnd w:id="63"/>
    </w:p>
    <w:p w14:paraId="171B4993" w14:textId="77777777" w:rsidR="00F3407A" w:rsidRPr="00D2132A" w:rsidRDefault="00B70575" w:rsidP="00F3407A">
      <w:pPr>
        <w:pStyle w:val="Bodycopy"/>
        <w:jc w:val="both"/>
        <w:rPr>
          <w:rFonts w:ascii="Calibri" w:eastAsia="Calibri" w:hAnsi="Calibri" w:cs="Calibri"/>
          <w:color w:val="auto"/>
          <w:sz w:val="22"/>
          <w:szCs w:val="22"/>
        </w:rPr>
      </w:pPr>
      <w:r w:rsidRPr="00D2132A">
        <w:rPr>
          <w:rFonts w:ascii="Calibri" w:eastAsia="Calibri" w:hAnsi="Calibri" w:cs="Calibri"/>
          <w:color w:val="auto"/>
          <w:sz w:val="22"/>
          <w:szCs w:val="56"/>
        </w:rPr>
        <w:t>This is the number of new, permanent, paid, full-time equivalent (FTE) jobs created following support. It includes both part-time and full-time jobs, which should be recorded relative to full-time equivalent (FTE).</w:t>
      </w:r>
      <w:r w:rsidR="00F3407A" w:rsidRPr="00D2132A">
        <w:rPr>
          <w:rFonts w:ascii="Calibri" w:eastAsia="Calibri" w:hAnsi="Calibri" w:cs="Calibri"/>
          <w:color w:val="auto"/>
          <w:sz w:val="22"/>
          <w:szCs w:val="56"/>
        </w:rPr>
        <w:t xml:space="preserve"> </w:t>
      </w:r>
      <w:r w:rsidR="00F3407A" w:rsidRPr="00D2132A">
        <w:rPr>
          <w:rFonts w:ascii="Calibri" w:eastAsia="Calibri" w:hAnsi="Calibri" w:cs="Calibri"/>
          <w:color w:val="auto"/>
          <w:sz w:val="22"/>
          <w:szCs w:val="22"/>
        </w:rPr>
        <w:t>FTE should be based on the standard full-time hours of the employer (an employee’s scheduled hours in relation to an employers’ hours for a full-time workweek).</w:t>
      </w:r>
    </w:p>
    <w:p w14:paraId="5E04548E" w14:textId="77777777" w:rsidR="00F3407A" w:rsidRPr="00D2132A" w:rsidRDefault="00F3407A" w:rsidP="00F3407A">
      <w:pPr>
        <w:pStyle w:val="Bodycopy"/>
        <w:jc w:val="both"/>
        <w:rPr>
          <w:rFonts w:ascii="Calibri" w:eastAsia="Calibri" w:hAnsi="Calibri" w:cs="Calibri"/>
          <w:color w:val="auto"/>
          <w:sz w:val="22"/>
          <w:szCs w:val="22"/>
        </w:rPr>
      </w:pPr>
    </w:p>
    <w:p w14:paraId="5698FDB9" w14:textId="0CE23B29" w:rsidR="00B70575" w:rsidRPr="00D2132A" w:rsidRDefault="00B70575" w:rsidP="00F3407A">
      <w:pPr>
        <w:pStyle w:val="Bodycopy"/>
        <w:jc w:val="both"/>
        <w:rPr>
          <w:rFonts w:ascii="Calibri" w:eastAsia="Calibri" w:hAnsi="Calibri" w:cs="Calibri"/>
          <w:color w:val="auto"/>
          <w:sz w:val="22"/>
          <w:szCs w:val="22"/>
        </w:rPr>
      </w:pPr>
      <w:r w:rsidRPr="00D2132A">
        <w:rPr>
          <w:rFonts w:ascii="Calibri" w:eastAsia="Calibri" w:hAnsi="Calibri" w:cs="Calibri"/>
          <w:color w:val="auto"/>
          <w:sz w:val="22"/>
          <w:szCs w:val="56"/>
        </w:rPr>
        <w:t>New means the job should not have existed with that employer before the intervention. Permanent means it should have an intended life expectancy of at least 12 months from the point at which it is created.</w:t>
      </w:r>
    </w:p>
    <w:p w14:paraId="186D2D7D" w14:textId="77777777" w:rsidR="00B70575" w:rsidRPr="00D2132A" w:rsidRDefault="00B70575" w:rsidP="00B70575">
      <w:pPr>
        <w:pStyle w:val="Bodycopy"/>
        <w:jc w:val="both"/>
        <w:rPr>
          <w:rFonts w:ascii="Calibri" w:eastAsia="Calibri" w:hAnsi="Calibri" w:cs="Calibri"/>
          <w:color w:val="auto"/>
          <w:sz w:val="22"/>
          <w:szCs w:val="22"/>
        </w:rPr>
      </w:pPr>
    </w:p>
    <w:p w14:paraId="464A9047" w14:textId="6EE6076F" w:rsidR="00B70575" w:rsidRPr="00D2132A" w:rsidRDefault="00F3407A" w:rsidP="00B70575">
      <w:pPr>
        <w:pStyle w:val="Bodycopy"/>
        <w:jc w:val="both"/>
        <w:rPr>
          <w:rFonts w:ascii="Calibri" w:hAnsi="Calibri" w:cs="Calibri"/>
          <w:color w:val="auto"/>
          <w:sz w:val="22"/>
          <w:szCs w:val="22"/>
        </w:rPr>
      </w:pPr>
      <w:r w:rsidRPr="00D2132A">
        <w:rPr>
          <w:rFonts w:ascii="Calibri" w:eastAsia="Calibri" w:hAnsi="Calibri" w:cs="Calibri"/>
          <w:color w:val="auto"/>
          <w:sz w:val="22"/>
          <w:szCs w:val="56"/>
        </w:rPr>
        <w:t>An</w:t>
      </w:r>
      <w:r w:rsidR="00B70575" w:rsidRPr="00D2132A">
        <w:rPr>
          <w:rFonts w:ascii="Calibri" w:eastAsia="Calibri" w:hAnsi="Calibri" w:cs="Calibri"/>
          <w:color w:val="auto"/>
          <w:sz w:val="22"/>
          <w:szCs w:val="56"/>
        </w:rPr>
        <w:t xml:space="preserve"> individual FTE or job </w:t>
      </w:r>
      <w:r w:rsidRPr="00D2132A">
        <w:rPr>
          <w:rFonts w:ascii="Calibri" w:eastAsia="Calibri" w:hAnsi="Calibri" w:cs="Calibri"/>
          <w:color w:val="auto"/>
          <w:sz w:val="22"/>
          <w:szCs w:val="56"/>
        </w:rPr>
        <w:t xml:space="preserve">only counts once </w:t>
      </w:r>
      <w:r w:rsidR="00B70575" w:rsidRPr="00D2132A">
        <w:rPr>
          <w:rFonts w:ascii="Calibri" w:eastAsia="Calibri" w:hAnsi="Calibri" w:cs="Calibri"/>
          <w:color w:val="auto"/>
          <w:sz w:val="22"/>
          <w:szCs w:val="56"/>
        </w:rPr>
        <w:t xml:space="preserve">through the lifetime of a project (i.e. it </w:t>
      </w:r>
      <w:r w:rsidR="00A74F00" w:rsidRPr="00D2132A">
        <w:rPr>
          <w:rFonts w:ascii="Calibri" w:eastAsia="Calibri" w:hAnsi="Calibri" w:cs="Calibri"/>
          <w:color w:val="auto"/>
          <w:sz w:val="22"/>
          <w:szCs w:val="56"/>
        </w:rPr>
        <w:t>is</w:t>
      </w:r>
      <w:r w:rsidR="00B70575" w:rsidRPr="00D2132A">
        <w:rPr>
          <w:rFonts w:ascii="Calibri" w:eastAsia="Calibri" w:hAnsi="Calibri" w:cs="Calibri"/>
          <w:color w:val="auto"/>
          <w:sz w:val="22"/>
          <w:szCs w:val="56"/>
        </w:rPr>
        <w:t xml:space="preserve"> not counted every year).</w:t>
      </w:r>
    </w:p>
    <w:p w14:paraId="7A49A7DC" w14:textId="77777777" w:rsidR="00B70575" w:rsidRPr="00D2132A" w:rsidRDefault="00B70575" w:rsidP="002465C4">
      <w:pPr>
        <w:pStyle w:val="Bodycopy"/>
        <w:jc w:val="both"/>
        <w:rPr>
          <w:rFonts w:ascii="Calibri" w:hAnsi="Calibri" w:cs="Calibri"/>
          <w:color w:val="auto"/>
          <w:sz w:val="22"/>
          <w:szCs w:val="22"/>
        </w:rPr>
      </w:pPr>
    </w:p>
    <w:p w14:paraId="4C6E760E" w14:textId="609B082A" w:rsidR="002465C4" w:rsidRPr="00D2132A" w:rsidRDefault="002465C4" w:rsidP="002465C4">
      <w:pPr>
        <w:pStyle w:val="Bodycopy"/>
        <w:jc w:val="both"/>
        <w:rPr>
          <w:rFonts w:ascii="Calibri" w:hAnsi="Calibri" w:cs="Calibri"/>
          <w:color w:val="auto"/>
          <w:sz w:val="22"/>
          <w:szCs w:val="22"/>
          <w:lang w:val="en-US"/>
        </w:rPr>
      </w:pPr>
      <w:r w:rsidRPr="00D2132A">
        <w:rPr>
          <w:rFonts w:ascii="Calibri" w:hAnsi="Calibri" w:cs="Calibri"/>
          <w:color w:val="auto"/>
          <w:sz w:val="22"/>
          <w:szCs w:val="22"/>
        </w:rPr>
        <w:t xml:space="preserve">Jobs created must </w:t>
      </w:r>
      <w:r w:rsidR="00B37A71" w:rsidRPr="00D2132A">
        <w:rPr>
          <w:rFonts w:ascii="Calibri" w:hAnsi="Calibri" w:cs="Calibri"/>
          <w:color w:val="auto"/>
          <w:sz w:val="22"/>
          <w:szCs w:val="22"/>
        </w:rPr>
        <w:t xml:space="preserve">normally </w:t>
      </w:r>
      <w:r w:rsidRPr="00D2132A">
        <w:rPr>
          <w:rFonts w:ascii="Calibri" w:hAnsi="Calibri" w:cs="Calibri"/>
          <w:color w:val="auto"/>
          <w:sz w:val="22"/>
          <w:szCs w:val="22"/>
        </w:rPr>
        <w:t>be within the applicant business</w:t>
      </w:r>
      <w:r w:rsidR="00B70575" w:rsidRPr="00D2132A">
        <w:rPr>
          <w:rFonts w:ascii="Calibri" w:hAnsi="Calibri" w:cs="Calibri"/>
          <w:color w:val="auto"/>
          <w:sz w:val="22"/>
          <w:szCs w:val="22"/>
        </w:rPr>
        <w:t xml:space="preserve">. </w:t>
      </w:r>
      <w:r w:rsidR="00B37A71" w:rsidRPr="00D2132A">
        <w:rPr>
          <w:rFonts w:ascii="Calibri" w:hAnsi="Calibri" w:cs="Calibri"/>
          <w:color w:val="auto"/>
          <w:sz w:val="22"/>
          <w:szCs w:val="22"/>
        </w:rPr>
        <w:t>Indirect jobs created within the supply chain will not be taken into account.</w:t>
      </w:r>
      <w:r w:rsidR="00B70575" w:rsidRPr="00D2132A">
        <w:rPr>
          <w:rFonts w:ascii="Calibri" w:hAnsi="Calibri" w:cs="Calibri"/>
          <w:color w:val="auto"/>
          <w:sz w:val="22"/>
          <w:szCs w:val="22"/>
        </w:rPr>
        <w:t xml:space="preserve"> </w:t>
      </w:r>
      <w:r w:rsidR="00B37A71" w:rsidRPr="00D2132A">
        <w:rPr>
          <w:rFonts w:ascii="Calibri" w:hAnsi="Calibri" w:cs="Calibri"/>
          <w:color w:val="auto"/>
          <w:sz w:val="22"/>
          <w:szCs w:val="22"/>
          <w:lang w:val="en-US"/>
        </w:rPr>
        <w:t xml:space="preserve">On occasions staffing of an establishment may be wholly contracted to an independent agency that supplies staff on an individual contractual basis. Providing that the contracts are for a fixed term with the applicant business, such arrangements may qualify for assistance. </w:t>
      </w:r>
    </w:p>
    <w:p w14:paraId="4787BE10" w14:textId="77777777" w:rsidR="002465C4" w:rsidRPr="00D2132A" w:rsidRDefault="002465C4" w:rsidP="002465C4">
      <w:pPr>
        <w:pStyle w:val="Bodycopy"/>
        <w:jc w:val="both"/>
        <w:rPr>
          <w:rFonts w:ascii="Calibri" w:hAnsi="Calibri" w:cs="Calibri"/>
          <w:color w:val="auto"/>
          <w:sz w:val="22"/>
          <w:szCs w:val="22"/>
        </w:rPr>
      </w:pPr>
    </w:p>
    <w:p w14:paraId="3E3BF969" w14:textId="647A96F6" w:rsidR="00F7058B" w:rsidRPr="00D2132A" w:rsidRDefault="00F7058B" w:rsidP="002465C4">
      <w:pPr>
        <w:pStyle w:val="Bodycopy"/>
        <w:jc w:val="both"/>
        <w:rPr>
          <w:rFonts w:ascii="Calibri" w:hAnsi="Calibri" w:cs="Calibri"/>
          <w:color w:val="auto"/>
          <w:sz w:val="22"/>
          <w:szCs w:val="22"/>
        </w:rPr>
      </w:pPr>
      <w:r w:rsidRPr="00D2132A">
        <w:rPr>
          <w:rFonts w:ascii="Calibri" w:hAnsi="Calibri" w:cs="Calibri"/>
          <w:color w:val="auto"/>
          <w:sz w:val="22"/>
          <w:szCs w:val="22"/>
        </w:rPr>
        <w:t xml:space="preserve">Projects </w:t>
      </w:r>
      <w:r w:rsidR="00EE5B92" w:rsidRPr="00D2132A">
        <w:rPr>
          <w:rFonts w:ascii="Calibri" w:hAnsi="Calibri" w:cs="Calibri"/>
          <w:color w:val="auto"/>
          <w:sz w:val="22"/>
          <w:szCs w:val="22"/>
        </w:rPr>
        <w:t xml:space="preserve">should not be </w:t>
      </w:r>
      <w:r w:rsidRPr="00D2132A">
        <w:rPr>
          <w:rFonts w:ascii="Calibri" w:hAnsi="Calibri" w:cs="Calibri"/>
          <w:color w:val="auto"/>
          <w:sz w:val="22"/>
          <w:szCs w:val="22"/>
        </w:rPr>
        <w:t>likely to create over-capacity and/or displace jobs from elsewhere</w:t>
      </w:r>
      <w:r w:rsidR="00EE5B92" w:rsidRPr="00D2132A">
        <w:rPr>
          <w:rFonts w:ascii="Calibri" w:hAnsi="Calibri" w:cs="Calibri"/>
          <w:color w:val="auto"/>
          <w:sz w:val="22"/>
          <w:szCs w:val="22"/>
        </w:rPr>
        <w:t>.</w:t>
      </w:r>
      <w:r w:rsidRPr="00D2132A">
        <w:rPr>
          <w:rFonts w:ascii="Calibri" w:hAnsi="Calibri" w:cs="Calibri"/>
          <w:color w:val="auto"/>
          <w:sz w:val="22"/>
          <w:szCs w:val="22"/>
        </w:rPr>
        <w:t xml:space="preserve"> </w:t>
      </w:r>
    </w:p>
    <w:p w14:paraId="538468A6" w14:textId="5F89A7C7" w:rsidR="00B70575" w:rsidRPr="00D2132A" w:rsidRDefault="00EE05AE" w:rsidP="00B439E3">
      <w:pPr>
        <w:pStyle w:val="TOC-Sub"/>
        <w:outlineLvl w:val="1"/>
        <w:rPr>
          <w:color w:val="auto"/>
        </w:rPr>
      </w:pPr>
      <w:bookmarkStart w:id="64" w:name="_Toc152159667"/>
      <w:bookmarkStart w:id="65" w:name="_Toc157694445"/>
      <w:r w:rsidRPr="00D2132A">
        <w:rPr>
          <w:color w:val="auto"/>
        </w:rPr>
        <w:t>5</w:t>
      </w:r>
      <w:r w:rsidR="00B70575" w:rsidRPr="00D2132A">
        <w:rPr>
          <w:color w:val="auto"/>
        </w:rPr>
        <w:t>.2</w:t>
      </w:r>
      <w:r w:rsidR="00B70575" w:rsidRPr="00D2132A">
        <w:rPr>
          <w:color w:val="auto"/>
        </w:rPr>
        <w:tab/>
        <w:t>Safeguarding of Jobs</w:t>
      </w:r>
      <w:bookmarkEnd w:id="64"/>
      <w:bookmarkEnd w:id="65"/>
    </w:p>
    <w:p w14:paraId="296D5D84" w14:textId="77777777" w:rsidR="005B2238" w:rsidRPr="00D2132A" w:rsidRDefault="00B70575" w:rsidP="005B2238">
      <w:pPr>
        <w:pStyle w:val="Bodycopy"/>
        <w:jc w:val="both"/>
        <w:rPr>
          <w:rFonts w:ascii="Calibri" w:eastAsia="Calibri" w:hAnsi="Calibri" w:cs="Calibri"/>
          <w:color w:val="auto"/>
          <w:sz w:val="22"/>
          <w:szCs w:val="22"/>
        </w:rPr>
      </w:pPr>
      <w:r w:rsidRPr="00D2132A">
        <w:rPr>
          <w:rFonts w:ascii="Calibri" w:eastAsia="Calibri" w:hAnsi="Calibri" w:cs="Calibri"/>
          <w:color w:val="auto"/>
          <w:sz w:val="22"/>
          <w:szCs w:val="56"/>
        </w:rPr>
        <w:t>This is the number of existing permanent, paid, full-time equivalent (FTE) jobs safeguarded following support. It includes both part-time and full-time jobs, which should be recorded relative to full-time equivalent (FTE).</w:t>
      </w:r>
      <w:r w:rsidR="005B2238" w:rsidRPr="00D2132A">
        <w:rPr>
          <w:rFonts w:ascii="Calibri" w:eastAsia="Calibri" w:hAnsi="Calibri" w:cs="Calibri"/>
          <w:color w:val="auto"/>
          <w:sz w:val="22"/>
          <w:szCs w:val="56"/>
        </w:rPr>
        <w:t xml:space="preserve"> </w:t>
      </w:r>
      <w:r w:rsidR="005B2238" w:rsidRPr="00D2132A">
        <w:rPr>
          <w:rFonts w:ascii="Calibri" w:eastAsia="Calibri" w:hAnsi="Calibri" w:cs="Calibri"/>
          <w:color w:val="auto"/>
          <w:sz w:val="22"/>
          <w:szCs w:val="22"/>
        </w:rPr>
        <w:t>FTE should be based on the standard full-time hours of the employer (an employee’s scheduled hours in relation to an employers’ hours for a full-time workweek).</w:t>
      </w:r>
    </w:p>
    <w:p w14:paraId="7498493E" w14:textId="77777777" w:rsidR="005B2238" w:rsidRPr="00D2132A" w:rsidRDefault="005B2238" w:rsidP="005B2238">
      <w:pPr>
        <w:pStyle w:val="Bodycopy"/>
        <w:jc w:val="both"/>
        <w:rPr>
          <w:rFonts w:ascii="Calibri" w:eastAsia="Calibri" w:hAnsi="Calibri" w:cs="Calibri"/>
          <w:color w:val="auto"/>
          <w:sz w:val="22"/>
          <w:szCs w:val="22"/>
        </w:rPr>
      </w:pPr>
    </w:p>
    <w:p w14:paraId="399E94A2" w14:textId="2E2C4181" w:rsidR="005B2238" w:rsidRPr="00D2132A" w:rsidRDefault="00B70575" w:rsidP="005B2238">
      <w:pPr>
        <w:pStyle w:val="Bodycopy"/>
        <w:jc w:val="both"/>
        <w:rPr>
          <w:rFonts w:ascii="Calibri" w:hAnsi="Calibri" w:cs="Calibri"/>
          <w:color w:val="auto"/>
          <w:sz w:val="22"/>
          <w:szCs w:val="22"/>
        </w:rPr>
      </w:pPr>
      <w:r w:rsidRPr="00D2132A">
        <w:rPr>
          <w:rFonts w:ascii="Calibri" w:eastAsia="Calibri" w:hAnsi="Calibri" w:cs="Calibri"/>
          <w:color w:val="auto"/>
          <w:sz w:val="22"/>
          <w:szCs w:val="22"/>
        </w:rPr>
        <w:t>A safeguarded job is a permanent and paid job (including sole traders and business owners) that was at risk prior to support being provided, and which the support helped the business to retain. At risk is defined as being forecast to be lost within 6 months.</w:t>
      </w:r>
    </w:p>
    <w:p w14:paraId="3632F718" w14:textId="77777777" w:rsidR="005B2238" w:rsidRPr="00D2132A" w:rsidRDefault="005B2238" w:rsidP="005B2238">
      <w:pPr>
        <w:pStyle w:val="Bodycopy"/>
        <w:jc w:val="both"/>
        <w:rPr>
          <w:rFonts w:ascii="Calibri" w:hAnsi="Calibri" w:cs="Calibri"/>
          <w:color w:val="auto"/>
          <w:sz w:val="22"/>
          <w:szCs w:val="22"/>
        </w:rPr>
      </w:pPr>
    </w:p>
    <w:p w14:paraId="3AF9D01C" w14:textId="77777777" w:rsidR="005B2238" w:rsidRPr="00D2132A" w:rsidRDefault="005B2238" w:rsidP="00B70575">
      <w:pPr>
        <w:pStyle w:val="Bodycopy"/>
        <w:jc w:val="both"/>
        <w:rPr>
          <w:rFonts w:ascii="Calibri" w:eastAsia="Calibri" w:hAnsi="Calibri" w:cs="Calibri"/>
          <w:color w:val="auto"/>
          <w:sz w:val="22"/>
          <w:szCs w:val="56"/>
        </w:rPr>
      </w:pPr>
      <w:r w:rsidRPr="00D2132A">
        <w:rPr>
          <w:rFonts w:ascii="Calibri" w:eastAsia="Calibri" w:hAnsi="Calibri" w:cs="Calibri"/>
          <w:color w:val="auto"/>
          <w:sz w:val="22"/>
          <w:szCs w:val="56"/>
        </w:rPr>
        <w:t xml:space="preserve">An individual FTE or job only counts once through the lifetime of a project (i.e. it is not counted every year). </w:t>
      </w:r>
    </w:p>
    <w:p w14:paraId="62DF3620" w14:textId="77777777" w:rsidR="005B2238" w:rsidRPr="00D2132A" w:rsidRDefault="005B2238" w:rsidP="00B70575">
      <w:pPr>
        <w:pStyle w:val="Bodycopy"/>
        <w:jc w:val="both"/>
        <w:rPr>
          <w:rFonts w:ascii="Calibri" w:eastAsia="Calibri" w:hAnsi="Calibri" w:cs="Calibri"/>
          <w:color w:val="auto"/>
          <w:sz w:val="22"/>
          <w:szCs w:val="56"/>
        </w:rPr>
      </w:pPr>
    </w:p>
    <w:p w14:paraId="0695D014" w14:textId="1CB18F9D" w:rsidR="00B70575" w:rsidRPr="00D2132A" w:rsidRDefault="00B70575" w:rsidP="00B70575">
      <w:pPr>
        <w:pStyle w:val="Bodycopy"/>
        <w:jc w:val="both"/>
        <w:rPr>
          <w:rFonts w:ascii="Calibri" w:hAnsi="Calibri" w:cs="Calibri"/>
          <w:color w:val="auto"/>
          <w:sz w:val="22"/>
          <w:szCs w:val="22"/>
          <w:lang w:val="en-US"/>
        </w:rPr>
      </w:pPr>
      <w:r w:rsidRPr="00D2132A">
        <w:rPr>
          <w:rFonts w:ascii="Calibri" w:hAnsi="Calibri" w:cs="Calibri"/>
          <w:color w:val="auto"/>
          <w:sz w:val="22"/>
          <w:szCs w:val="22"/>
        </w:rPr>
        <w:t xml:space="preserve">Jobs safeguarded must normally be within the applicant business. Indirect jobs safeguarded within the supply chain will not be taken into account. </w:t>
      </w:r>
      <w:r w:rsidRPr="00D2132A">
        <w:rPr>
          <w:rFonts w:ascii="Calibri" w:hAnsi="Calibri" w:cs="Calibri"/>
          <w:color w:val="auto"/>
          <w:sz w:val="22"/>
          <w:szCs w:val="22"/>
          <w:lang w:val="en-US"/>
        </w:rPr>
        <w:t xml:space="preserve">On occasions staffing of an establishment may be wholly contracted to an independent agency that supplies staff on an individual contractual basis. Providing that the contracts are for a fixed term with the applicant business, such arrangements may qualify for assistance. </w:t>
      </w:r>
    </w:p>
    <w:p w14:paraId="14116667" w14:textId="77777777" w:rsidR="00020244" w:rsidRPr="00D2132A" w:rsidRDefault="00EE05AE" w:rsidP="00020244">
      <w:pPr>
        <w:pStyle w:val="TOC-Sub"/>
        <w:outlineLvl w:val="1"/>
        <w:rPr>
          <w:color w:val="auto"/>
        </w:rPr>
      </w:pPr>
      <w:bookmarkStart w:id="66" w:name="_Toc152159668"/>
      <w:bookmarkStart w:id="67" w:name="_Toc157694446"/>
      <w:r w:rsidRPr="00D2132A">
        <w:rPr>
          <w:color w:val="auto"/>
        </w:rPr>
        <w:t>5</w:t>
      </w:r>
      <w:r w:rsidR="00B37A71" w:rsidRPr="00D2132A">
        <w:rPr>
          <w:color w:val="auto"/>
        </w:rPr>
        <w:t>.</w:t>
      </w:r>
      <w:r w:rsidR="00B7477A" w:rsidRPr="00D2132A">
        <w:rPr>
          <w:color w:val="auto"/>
        </w:rPr>
        <w:t>3</w:t>
      </w:r>
      <w:r w:rsidR="00B37A71" w:rsidRPr="00D2132A">
        <w:rPr>
          <w:color w:val="auto"/>
        </w:rPr>
        <w:tab/>
      </w:r>
      <w:r w:rsidR="00114440" w:rsidRPr="00D2132A">
        <w:rPr>
          <w:color w:val="auto"/>
        </w:rPr>
        <w:t xml:space="preserve">Farm </w:t>
      </w:r>
      <w:r w:rsidR="00B37A71" w:rsidRPr="00D2132A">
        <w:rPr>
          <w:color w:val="auto"/>
        </w:rPr>
        <w:t>D</w:t>
      </w:r>
      <w:r w:rsidR="00114440" w:rsidRPr="00D2132A">
        <w:rPr>
          <w:color w:val="auto"/>
        </w:rPr>
        <w:t>iversification</w:t>
      </w:r>
      <w:bookmarkEnd w:id="66"/>
      <w:bookmarkEnd w:id="67"/>
    </w:p>
    <w:p w14:paraId="716DCAC1" w14:textId="5DF61901" w:rsidR="00020244" w:rsidRPr="00D2132A" w:rsidRDefault="00020244" w:rsidP="00020244">
      <w:pPr>
        <w:pStyle w:val="NoSpacing"/>
        <w:jc w:val="both"/>
        <w:rPr>
          <w:rFonts w:ascii="Calibri" w:eastAsiaTheme="minorHAnsi" w:hAnsi="Calibri" w:cs="Calibri"/>
          <w:sz w:val="22"/>
          <w:szCs w:val="22"/>
        </w:rPr>
      </w:pPr>
      <w:r w:rsidRPr="00D2132A">
        <w:rPr>
          <w:rFonts w:ascii="Calibri" w:eastAsia="Times New Roman" w:hAnsi="Calibri" w:cs="Calibri"/>
          <w:sz w:val="22"/>
          <w:szCs w:val="22"/>
          <w:lang w:eastAsia="en-GB"/>
        </w:rPr>
        <w:t xml:space="preserve">A farm business is defined as an enterprise where the primary activity of the enterprise is farming (i.e. the occupation of land for the purpose of growing crops and/or the raising of farm livestock). </w:t>
      </w:r>
    </w:p>
    <w:p w14:paraId="1C0837EA" w14:textId="30FBE845" w:rsidR="00020244" w:rsidRPr="00D2132A" w:rsidRDefault="00020244" w:rsidP="00020244">
      <w:pPr>
        <w:pStyle w:val="NoSpacing"/>
        <w:jc w:val="both"/>
        <w:rPr>
          <w:rFonts w:ascii="Calibri" w:eastAsia="Times New Roman" w:hAnsi="Calibri" w:cs="Calibri"/>
          <w:sz w:val="22"/>
          <w:szCs w:val="22"/>
          <w:lang w:eastAsia="en-GB"/>
        </w:rPr>
      </w:pPr>
      <w:r w:rsidRPr="00D2132A">
        <w:rPr>
          <w:rFonts w:ascii="Calibri" w:eastAsia="Times New Roman" w:hAnsi="Calibri" w:cs="Calibri"/>
          <w:sz w:val="22"/>
          <w:szCs w:val="22"/>
          <w:lang w:eastAsia="en-GB"/>
        </w:rPr>
        <w:lastRenderedPageBreak/>
        <w:t>Farm diversification is defined as enterprises that have received non-financial support or grants, where the enterprise is a farm business (as defined under ‘Number of farm businesses supported’) and where the purpose of the support is to diversify the activities of the enterprise away from farming or other farm-related activities.</w:t>
      </w:r>
    </w:p>
    <w:p w14:paraId="63FBD8E2" w14:textId="123B147A" w:rsidR="00020244" w:rsidRPr="00020244" w:rsidRDefault="00EE05AE" w:rsidP="00020244">
      <w:pPr>
        <w:pStyle w:val="TOC-Sub"/>
        <w:outlineLvl w:val="1"/>
      </w:pPr>
      <w:bookmarkStart w:id="68" w:name="_Toc152159669"/>
      <w:bookmarkStart w:id="69" w:name="_Toc157694447"/>
      <w:r w:rsidRPr="00D2132A">
        <w:rPr>
          <w:color w:val="auto"/>
        </w:rPr>
        <w:t>5</w:t>
      </w:r>
      <w:r w:rsidR="00B37A71" w:rsidRPr="00D2132A">
        <w:rPr>
          <w:color w:val="auto"/>
        </w:rPr>
        <w:t>.</w:t>
      </w:r>
      <w:r w:rsidR="00B7477A" w:rsidRPr="00D2132A">
        <w:rPr>
          <w:color w:val="auto"/>
        </w:rPr>
        <w:t>4</w:t>
      </w:r>
      <w:r w:rsidR="00B37A71" w:rsidRPr="00D2132A">
        <w:rPr>
          <w:color w:val="auto"/>
        </w:rPr>
        <w:tab/>
      </w:r>
      <w:r w:rsidR="001C60AB" w:rsidRPr="00D2132A">
        <w:rPr>
          <w:color w:val="auto"/>
        </w:rPr>
        <w:t>P</w:t>
      </w:r>
      <w:r w:rsidR="00114440" w:rsidRPr="00D2132A">
        <w:rPr>
          <w:color w:val="auto"/>
        </w:rPr>
        <w:t xml:space="preserve">roductivity </w:t>
      </w:r>
      <w:r w:rsidR="00B37A71" w:rsidRPr="00D2132A">
        <w:rPr>
          <w:color w:val="auto"/>
        </w:rPr>
        <w:t>I</w:t>
      </w:r>
      <w:r w:rsidR="00114440" w:rsidRPr="00D2132A">
        <w:rPr>
          <w:color w:val="auto"/>
        </w:rPr>
        <w:t>mprovements</w:t>
      </w:r>
      <w:bookmarkEnd w:id="68"/>
      <w:bookmarkEnd w:id="69"/>
      <w:r w:rsidR="00020244" w:rsidRPr="00D2132A">
        <w:rPr>
          <w:rFonts w:eastAsia="Calibri"/>
          <w:color w:val="auto"/>
        </w:rPr>
        <w:t xml:space="preserve"> </w:t>
      </w:r>
    </w:p>
    <w:p w14:paraId="05FD2EE2" w14:textId="4D554D79" w:rsidR="00020244" w:rsidRPr="00D2132A" w:rsidRDefault="00020244" w:rsidP="00020244">
      <w:pPr>
        <w:pStyle w:val="NoSpacing"/>
        <w:jc w:val="both"/>
        <w:rPr>
          <w:rFonts w:ascii="Calibri" w:hAnsi="Calibri" w:cs="Calibri"/>
          <w:sz w:val="22"/>
          <w:szCs w:val="22"/>
        </w:rPr>
      </w:pPr>
      <w:r w:rsidRPr="00D2132A">
        <w:rPr>
          <w:rStyle w:val="cf01"/>
          <w:rFonts w:ascii="Calibri" w:hAnsi="Calibri" w:cs="Calibri"/>
          <w:color w:val="auto"/>
          <w:sz w:val="22"/>
          <w:szCs w:val="22"/>
        </w:rPr>
        <w:t>This is enterprises which have implemented measures designed to improve productivity, as a result of support being provided. Improved productivity means an increase in the output of the enterprise per hour worked or per worker.</w:t>
      </w:r>
    </w:p>
    <w:p w14:paraId="5CFC54B0" w14:textId="77777777" w:rsidR="00020244" w:rsidRPr="00D2132A" w:rsidRDefault="00020244" w:rsidP="00020244">
      <w:pPr>
        <w:pStyle w:val="NoSpacing"/>
        <w:jc w:val="both"/>
        <w:rPr>
          <w:rFonts w:ascii="Calibri" w:hAnsi="Calibri" w:cs="Calibri"/>
          <w:sz w:val="22"/>
          <w:szCs w:val="22"/>
        </w:rPr>
      </w:pPr>
      <w:r w:rsidRPr="00D2132A">
        <w:rPr>
          <w:rStyle w:val="cf01"/>
          <w:rFonts w:ascii="Calibri" w:hAnsi="Calibri" w:cs="Calibri"/>
          <w:color w:val="auto"/>
          <w:sz w:val="22"/>
          <w:szCs w:val="22"/>
        </w:rPr>
        <w:t xml:space="preserve">Implementation means the enterprise declaring that the methods or techniques recommended as a result of support have been implemented into its working practices (details should be provided). </w:t>
      </w:r>
    </w:p>
    <w:p w14:paraId="5749D3CE" w14:textId="77777777" w:rsidR="00020244" w:rsidRPr="00D2132A" w:rsidRDefault="00020244" w:rsidP="00020244">
      <w:pPr>
        <w:pStyle w:val="NoSpacing"/>
        <w:jc w:val="both"/>
        <w:rPr>
          <w:rFonts w:ascii="Calibri" w:hAnsi="Calibri" w:cs="Calibri"/>
          <w:sz w:val="22"/>
          <w:szCs w:val="22"/>
        </w:rPr>
      </w:pPr>
      <w:r w:rsidRPr="00D2132A">
        <w:rPr>
          <w:rStyle w:val="cf01"/>
          <w:rFonts w:ascii="Calibri" w:hAnsi="Calibri" w:cs="Calibri"/>
          <w:color w:val="auto"/>
          <w:sz w:val="22"/>
          <w:szCs w:val="22"/>
        </w:rPr>
        <w:t>Where data is available, improvements may be quantified through calculations to demonstrate increased gross value added (GVA) per hour or per worker.</w:t>
      </w:r>
    </w:p>
    <w:p w14:paraId="77E03B6C" w14:textId="2BE52DAF" w:rsidR="00114440" w:rsidRPr="00D2132A" w:rsidRDefault="00EE05AE" w:rsidP="00B439E3">
      <w:pPr>
        <w:pStyle w:val="TOC-Sub"/>
        <w:outlineLvl w:val="1"/>
        <w:rPr>
          <w:color w:val="auto"/>
        </w:rPr>
      </w:pPr>
      <w:bookmarkStart w:id="70" w:name="_Toc152159670"/>
      <w:bookmarkStart w:id="71" w:name="_Toc157694448"/>
      <w:r w:rsidRPr="00D2132A">
        <w:rPr>
          <w:color w:val="auto"/>
        </w:rPr>
        <w:t>5</w:t>
      </w:r>
      <w:r w:rsidR="00B37A71" w:rsidRPr="00D2132A">
        <w:rPr>
          <w:color w:val="auto"/>
        </w:rPr>
        <w:t>.</w:t>
      </w:r>
      <w:r w:rsidR="00B7477A" w:rsidRPr="00D2132A">
        <w:rPr>
          <w:color w:val="auto"/>
        </w:rPr>
        <w:t>5</w:t>
      </w:r>
      <w:r w:rsidR="00B37A71" w:rsidRPr="00D2132A">
        <w:rPr>
          <w:color w:val="auto"/>
        </w:rPr>
        <w:tab/>
      </w:r>
      <w:r w:rsidR="001C60AB" w:rsidRPr="00D2132A">
        <w:rPr>
          <w:color w:val="auto"/>
        </w:rPr>
        <w:t>G</w:t>
      </w:r>
      <w:r w:rsidR="00114440" w:rsidRPr="00D2132A">
        <w:rPr>
          <w:color w:val="auto"/>
        </w:rPr>
        <w:t>rowth</w:t>
      </w:r>
      <w:bookmarkEnd w:id="70"/>
      <w:bookmarkEnd w:id="71"/>
    </w:p>
    <w:p w14:paraId="6074F8A4" w14:textId="6103BE0A" w:rsidR="001C60AB" w:rsidRPr="00D2132A" w:rsidRDefault="00D3376D" w:rsidP="00FC531C">
      <w:pPr>
        <w:rPr>
          <w:rFonts w:ascii="Calibri" w:eastAsia="Calibri" w:hAnsi="Calibri" w:cs="Calibri"/>
          <w:color w:val="auto"/>
          <w:sz w:val="22"/>
          <w:szCs w:val="22"/>
        </w:rPr>
      </w:pPr>
      <w:r w:rsidRPr="00D2132A">
        <w:rPr>
          <w:rFonts w:ascii="Calibri" w:eastAsia="Calibri" w:hAnsi="Calibri" w:cs="Calibri"/>
          <w:color w:val="auto"/>
          <w:sz w:val="22"/>
          <w:szCs w:val="22"/>
        </w:rPr>
        <w:t xml:space="preserve">Growth </w:t>
      </w:r>
      <w:r w:rsidR="00F96674" w:rsidRPr="00D2132A">
        <w:rPr>
          <w:rFonts w:ascii="Calibri" w:eastAsia="Calibri" w:hAnsi="Calibri" w:cs="Calibri"/>
          <w:color w:val="auto"/>
          <w:sz w:val="22"/>
          <w:szCs w:val="22"/>
        </w:rPr>
        <w:t xml:space="preserve">generally </w:t>
      </w:r>
      <w:r w:rsidRPr="00D2132A">
        <w:rPr>
          <w:rFonts w:ascii="Calibri" w:eastAsia="Calibri" w:hAnsi="Calibri" w:cs="Calibri"/>
          <w:color w:val="auto"/>
          <w:sz w:val="22"/>
          <w:szCs w:val="22"/>
        </w:rPr>
        <w:t xml:space="preserve">means an increase in turnover </w:t>
      </w:r>
      <w:r w:rsidR="00F96674" w:rsidRPr="00D2132A">
        <w:rPr>
          <w:rFonts w:ascii="Calibri" w:eastAsia="Calibri" w:hAnsi="Calibri" w:cs="Calibri"/>
          <w:color w:val="auto"/>
          <w:sz w:val="22"/>
          <w:szCs w:val="22"/>
        </w:rPr>
        <w:t xml:space="preserve">but other </w:t>
      </w:r>
      <w:r w:rsidR="00FC531C" w:rsidRPr="00D2132A">
        <w:rPr>
          <w:rFonts w:ascii="Calibri" w:eastAsia="Calibri" w:hAnsi="Calibri" w:cs="Calibri"/>
          <w:color w:val="auto"/>
          <w:sz w:val="22"/>
          <w:szCs w:val="22"/>
        </w:rPr>
        <w:t>growth declared by the business may be accepted.</w:t>
      </w:r>
    </w:p>
    <w:p w14:paraId="777583B5" w14:textId="77777777" w:rsidR="00502D18" w:rsidRPr="00D2132A" w:rsidRDefault="00502D18" w:rsidP="00FC531C">
      <w:pPr>
        <w:rPr>
          <w:rFonts w:ascii="Calibri" w:hAnsi="Calibri" w:cs="Calibri"/>
          <w:color w:val="auto"/>
          <w:sz w:val="22"/>
          <w:szCs w:val="22"/>
        </w:rPr>
      </w:pPr>
    </w:p>
    <w:p w14:paraId="7CD8574C" w14:textId="00C5B622" w:rsidR="0069473F" w:rsidRPr="00D2132A" w:rsidRDefault="00EE05AE" w:rsidP="00B439E3">
      <w:pPr>
        <w:pStyle w:val="TOC-Sub"/>
        <w:outlineLvl w:val="1"/>
        <w:rPr>
          <w:color w:val="auto"/>
        </w:rPr>
      </w:pPr>
      <w:bookmarkStart w:id="72" w:name="_Toc152159671"/>
      <w:bookmarkStart w:id="73" w:name="_Toc157694449"/>
      <w:r w:rsidRPr="00D2132A">
        <w:rPr>
          <w:color w:val="auto"/>
        </w:rPr>
        <w:t>5</w:t>
      </w:r>
      <w:r w:rsidR="00B37A71" w:rsidRPr="00D2132A">
        <w:rPr>
          <w:color w:val="auto"/>
        </w:rPr>
        <w:t>.</w:t>
      </w:r>
      <w:r w:rsidR="00B7477A" w:rsidRPr="00D2132A">
        <w:rPr>
          <w:color w:val="auto"/>
        </w:rPr>
        <w:t>6</w:t>
      </w:r>
      <w:r w:rsidR="00B37A71" w:rsidRPr="00D2132A">
        <w:rPr>
          <w:color w:val="auto"/>
        </w:rPr>
        <w:tab/>
      </w:r>
      <w:r w:rsidR="001C60AB" w:rsidRPr="00D2132A">
        <w:rPr>
          <w:color w:val="auto"/>
        </w:rPr>
        <w:t>A</w:t>
      </w:r>
      <w:r w:rsidR="00114440" w:rsidRPr="00D2132A">
        <w:rPr>
          <w:color w:val="auto"/>
        </w:rPr>
        <w:t xml:space="preserve">doption of </w:t>
      </w:r>
      <w:r w:rsidR="00B37A71" w:rsidRPr="00D2132A">
        <w:rPr>
          <w:color w:val="auto"/>
        </w:rPr>
        <w:t>N</w:t>
      </w:r>
      <w:r w:rsidR="00114440" w:rsidRPr="00D2132A">
        <w:rPr>
          <w:color w:val="auto"/>
        </w:rPr>
        <w:t xml:space="preserve">ew to the </w:t>
      </w:r>
      <w:r w:rsidR="00AD75AE" w:rsidRPr="00D2132A">
        <w:rPr>
          <w:color w:val="auto"/>
        </w:rPr>
        <w:t>Firm</w:t>
      </w:r>
      <w:r w:rsidR="00114440" w:rsidRPr="00D2132A">
        <w:rPr>
          <w:color w:val="auto"/>
        </w:rPr>
        <w:t xml:space="preserve"> </w:t>
      </w:r>
      <w:r w:rsidR="00B37A71" w:rsidRPr="00D2132A">
        <w:rPr>
          <w:color w:val="auto"/>
        </w:rPr>
        <w:t>T</w:t>
      </w:r>
      <w:r w:rsidR="00114440" w:rsidRPr="00D2132A">
        <w:rPr>
          <w:color w:val="auto"/>
        </w:rPr>
        <w:t xml:space="preserve">echnologies or </w:t>
      </w:r>
      <w:r w:rsidR="00B37A71" w:rsidRPr="00D2132A">
        <w:rPr>
          <w:color w:val="auto"/>
        </w:rPr>
        <w:t>P</w:t>
      </w:r>
      <w:r w:rsidR="00114440" w:rsidRPr="00D2132A">
        <w:rPr>
          <w:color w:val="auto"/>
        </w:rPr>
        <w:t>rocesses</w:t>
      </w:r>
      <w:bookmarkEnd w:id="72"/>
      <w:bookmarkEnd w:id="73"/>
    </w:p>
    <w:p w14:paraId="3900F12C" w14:textId="2F63F5C3" w:rsidR="00AD75AE" w:rsidRPr="00D2132A" w:rsidRDefault="00AD75AE" w:rsidP="00AD75AE">
      <w:pPr>
        <w:shd w:val="clear" w:color="auto" w:fill="FFFFFF"/>
        <w:spacing w:after="200"/>
        <w:jc w:val="both"/>
        <w:rPr>
          <w:rFonts w:ascii="Calibri" w:eastAsia="Calibri" w:hAnsi="Calibri" w:cs="Calibri"/>
          <w:color w:val="auto"/>
          <w:sz w:val="22"/>
          <w:szCs w:val="22"/>
        </w:rPr>
      </w:pPr>
      <w:r w:rsidRPr="00D2132A">
        <w:rPr>
          <w:rFonts w:ascii="Calibri" w:eastAsia="Calibri" w:hAnsi="Calibri" w:cs="Calibri"/>
          <w:color w:val="auto"/>
          <w:sz w:val="22"/>
          <w:szCs w:val="22"/>
        </w:rPr>
        <w:t xml:space="preserve">This is the introduction </w:t>
      </w:r>
      <w:r w:rsidR="00DB661A" w:rsidRPr="00D2132A">
        <w:rPr>
          <w:rFonts w:ascii="Calibri" w:eastAsia="Calibri" w:hAnsi="Calibri" w:cs="Calibri"/>
          <w:color w:val="auto"/>
          <w:sz w:val="22"/>
          <w:szCs w:val="22"/>
        </w:rPr>
        <w:t xml:space="preserve">of </w:t>
      </w:r>
      <w:r w:rsidRPr="00D2132A">
        <w:rPr>
          <w:rFonts w:ascii="Calibri" w:eastAsia="Calibri" w:hAnsi="Calibri" w:cs="Calibri"/>
          <w:color w:val="auto"/>
          <w:sz w:val="22"/>
          <w:szCs w:val="22"/>
        </w:rPr>
        <w:t>a new to the business technology or process, through external sources e.g. procurement of new equipment or supported by external advice.</w:t>
      </w:r>
      <w:r w:rsidR="000E2665" w:rsidRPr="00D2132A">
        <w:rPr>
          <w:rFonts w:ascii="Calibri" w:eastAsia="Calibri" w:hAnsi="Calibri" w:cs="Calibri"/>
          <w:color w:val="auto"/>
          <w:sz w:val="22"/>
          <w:szCs w:val="22"/>
        </w:rPr>
        <w:t xml:space="preserve">  </w:t>
      </w:r>
      <w:r w:rsidRPr="00D2132A">
        <w:rPr>
          <w:rFonts w:ascii="Calibri" w:eastAsia="Calibri" w:hAnsi="Calibri" w:cs="Calibri"/>
          <w:color w:val="auto"/>
          <w:sz w:val="22"/>
          <w:szCs w:val="22"/>
        </w:rPr>
        <w:t>A technology or process is new to the business if it did not use a technology or process with the same functionality before, or the production technology or process is fundamentally different from those already used. This may be tangible or intangible.</w:t>
      </w:r>
    </w:p>
    <w:p w14:paraId="7A99165C" w14:textId="310D37CD" w:rsidR="008A6B5D" w:rsidRPr="00D2132A" w:rsidRDefault="008A6B5D" w:rsidP="008A6B5D">
      <w:pPr>
        <w:pStyle w:val="NoSpacing"/>
        <w:jc w:val="both"/>
        <w:rPr>
          <w:rStyle w:val="cf01"/>
          <w:rFonts w:ascii="Calibri" w:hAnsi="Calibri" w:cs="Calibri"/>
          <w:color w:val="auto"/>
          <w:sz w:val="22"/>
          <w:szCs w:val="22"/>
        </w:rPr>
      </w:pPr>
      <w:r w:rsidRPr="00D2132A">
        <w:rPr>
          <w:rStyle w:val="cf01"/>
          <w:rFonts w:ascii="Calibri" w:hAnsi="Calibri" w:cs="Calibri"/>
          <w:color w:val="auto"/>
          <w:sz w:val="22"/>
          <w:szCs w:val="22"/>
        </w:rPr>
        <w:t>This is evidenced by an outcomes declaration signed by the enterprise, including details of the technologies and/or processes introduced.</w:t>
      </w:r>
    </w:p>
    <w:p w14:paraId="5C80E9E0" w14:textId="77777777" w:rsidR="008A6B5D" w:rsidRPr="00D2132A" w:rsidRDefault="008A6B5D" w:rsidP="008A6B5D">
      <w:pPr>
        <w:pStyle w:val="NoSpacing"/>
        <w:jc w:val="both"/>
        <w:rPr>
          <w:rStyle w:val="cf01"/>
          <w:rFonts w:ascii="Calibri" w:hAnsi="Calibri" w:cs="Calibri"/>
          <w:color w:val="auto"/>
          <w:sz w:val="22"/>
          <w:szCs w:val="22"/>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6874"/>
      </w:tblGrid>
      <w:tr w:rsidR="00060805" w:rsidRPr="00D2132A" w14:paraId="4D617B41" w14:textId="77777777" w:rsidTr="00060805">
        <w:tc>
          <w:tcPr>
            <w:tcW w:w="3190" w:type="dxa"/>
            <w:shd w:val="clear" w:color="auto" w:fill="auto"/>
          </w:tcPr>
          <w:p w14:paraId="1E47AC44" w14:textId="77777777" w:rsidR="00060805" w:rsidRPr="00D2132A" w:rsidRDefault="00060805" w:rsidP="0096394D">
            <w:pPr>
              <w:pStyle w:val="02-NormInd1-BB"/>
              <w:ind w:left="0"/>
              <w:rPr>
                <w:rFonts w:ascii="Calibri" w:hAnsi="Calibri" w:cs="Calibri"/>
                <w:b/>
                <w:bCs/>
              </w:rPr>
            </w:pPr>
            <w:r w:rsidRPr="00D2132A">
              <w:rPr>
                <w:rFonts w:ascii="Calibri" w:hAnsi="Calibri" w:cs="Calibri"/>
                <w:b/>
                <w:bCs/>
              </w:rPr>
              <w:t>Output/Outcome</w:t>
            </w:r>
          </w:p>
        </w:tc>
        <w:tc>
          <w:tcPr>
            <w:tcW w:w="6874" w:type="dxa"/>
            <w:shd w:val="clear" w:color="auto" w:fill="auto"/>
          </w:tcPr>
          <w:p w14:paraId="3EA87E27" w14:textId="7EFC2482" w:rsidR="00060805" w:rsidRPr="00D2132A" w:rsidRDefault="00060805" w:rsidP="0096394D">
            <w:pPr>
              <w:pStyle w:val="02-NormInd1-BB"/>
              <w:ind w:left="0"/>
              <w:rPr>
                <w:rFonts w:ascii="Calibri" w:hAnsi="Calibri" w:cs="Calibri"/>
                <w:b/>
                <w:bCs/>
              </w:rPr>
            </w:pPr>
            <w:r>
              <w:rPr>
                <w:rFonts w:ascii="Calibri" w:hAnsi="Calibri" w:cs="Calibri"/>
                <w:b/>
                <w:bCs/>
              </w:rPr>
              <w:t>Definition</w:t>
            </w:r>
          </w:p>
        </w:tc>
      </w:tr>
      <w:tr w:rsidR="00060805" w:rsidRPr="00D2132A" w14:paraId="08BC0A86" w14:textId="77777777" w:rsidTr="00060805">
        <w:tc>
          <w:tcPr>
            <w:tcW w:w="3190" w:type="dxa"/>
            <w:shd w:val="clear" w:color="auto" w:fill="auto"/>
          </w:tcPr>
          <w:p w14:paraId="2FC25D9B" w14:textId="42BEB530" w:rsidR="00060805" w:rsidRPr="00D2132A" w:rsidRDefault="00060805" w:rsidP="0096394D">
            <w:pPr>
              <w:pStyle w:val="02-NormInd1-BB"/>
              <w:ind w:left="0"/>
              <w:jc w:val="left"/>
              <w:rPr>
                <w:rFonts w:ascii="Calibri" w:hAnsi="Calibri" w:cs="Calibri"/>
              </w:rPr>
            </w:pPr>
            <w:r w:rsidRPr="00D2132A">
              <w:rPr>
                <w:rFonts w:ascii="Calibri" w:hAnsi="Calibri" w:cs="Calibri"/>
              </w:rPr>
              <w:t xml:space="preserve">Number of </w:t>
            </w:r>
            <w:r w:rsidR="00E366F9">
              <w:rPr>
                <w:rFonts w:ascii="Calibri" w:hAnsi="Calibri" w:cs="Calibri"/>
              </w:rPr>
              <w:t>e</w:t>
            </w:r>
            <w:r w:rsidRPr="00D2132A">
              <w:rPr>
                <w:rFonts w:ascii="Calibri" w:hAnsi="Calibri" w:cs="Calibri"/>
              </w:rPr>
              <w:t>nterprises receiving non-financial support</w:t>
            </w:r>
          </w:p>
        </w:tc>
        <w:tc>
          <w:tcPr>
            <w:tcW w:w="6874" w:type="dxa"/>
            <w:shd w:val="clear" w:color="auto" w:fill="auto"/>
          </w:tcPr>
          <w:p w14:paraId="5B2ADB95" w14:textId="77777777" w:rsidR="00060805" w:rsidRDefault="00745B6F" w:rsidP="0096394D">
            <w:pPr>
              <w:pStyle w:val="02-NormInd1-BB"/>
              <w:ind w:left="0"/>
              <w:rPr>
                <w:rFonts w:ascii="Calibri" w:hAnsi="Calibri" w:cs="Calibri"/>
              </w:rPr>
            </w:pPr>
            <w:r>
              <w:rPr>
                <w:rFonts w:ascii="Calibri" w:hAnsi="Calibri" w:cs="Calibri"/>
              </w:rPr>
              <w:t>Number of enterprises that have received non-financial support with the intention of improving performance.</w:t>
            </w:r>
          </w:p>
          <w:p w14:paraId="2DCB8192" w14:textId="1C04E813" w:rsidR="00745B6F" w:rsidRDefault="00745B6F" w:rsidP="0096394D">
            <w:pPr>
              <w:pStyle w:val="02-NormInd1-BB"/>
              <w:ind w:left="0"/>
              <w:rPr>
                <w:rFonts w:ascii="Calibri" w:hAnsi="Calibri" w:cs="Calibri"/>
              </w:rPr>
            </w:pPr>
            <w:r>
              <w:rPr>
                <w:rFonts w:ascii="Calibri" w:hAnsi="Calibri" w:cs="Calibri"/>
              </w:rPr>
              <w:t>Non-financial support means business advice, guidance, mentoring and training. This must involve some form of direct interaction with members of the enterprises, in other words it cannot be broadcasted advice.</w:t>
            </w:r>
          </w:p>
          <w:p w14:paraId="4E8DD9DA" w14:textId="786596F0" w:rsidR="00745B6F" w:rsidRPr="00D2132A" w:rsidRDefault="00745B6F" w:rsidP="0096394D">
            <w:pPr>
              <w:pStyle w:val="02-NormInd1-BB"/>
              <w:ind w:left="0"/>
              <w:rPr>
                <w:rFonts w:ascii="Calibri" w:hAnsi="Calibri" w:cs="Calibri"/>
              </w:rPr>
            </w:pPr>
            <w:r>
              <w:rPr>
                <w:rFonts w:ascii="Calibri" w:hAnsi="Calibri" w:cs="Calibri"/>
              </w:rPr>
              <w:t>Improving performance means reductions in costs or increases in turnover/profit (through improving productivity, innovation or accessing new markets)</w:t>
            </w:r>
          </w:p>
        </w:tc>
      </w:tr>
      <w:tr w:rsidR="00060805" w:rsidRPr="00D2132A" w14:paraId="20897A50" w14:textId="77777777" w:rsidTr="00060805">
        <w:tc>
          <w:tcPr>
            <w:tcW w:w="3190" w:type="dxa"/>
            <w:shd w:val="clear" w:color="auto" w:fill="auto"/>
          </w:tcPr>
          <w:p w14:paraId="30EC746C" w14:textId="4D2EBC88" w:rsidR="00060805" w:rsidRPr="00D2132A" w:rsidRDefault="00060805" w:rsidP="0096394D">
            <w:pPr>
              <w:pStyle w:val="02-NormInd1-BB"/>
              <w:ind w:left="0"/>
              <w:jc w:val="left"/>
              <w:rPr>
                <w:rFonts w:ascii="Calibri" w:hAnsi="Calibri" w:cs="Calibri"/>
              </w:rPr>
            </w:pPr>
            <w:r w:rsidRPr="00D2132A">
              <w:rPr>
                <w:rFonts w:ascii="Calibri" w:hAnsi="Calibri" w:cs="Calibri"/>
              </w:rPr>
              <w:t xml:space="preserve">Number of </w:t>
            </w:r>
            <w:r w:rsidR="00E366F9">
              <w:rPr>
                <w:rFonts w:ascii="Calibri" w:hAnsi="Calibri" w:cs="Calibri"/>
              </w:rPr>
              <w:t>o</w:t>
            </w:r>
            <w:r w:rsidRPr="00D2132A">
              <w:rPr>
                <w:rFonts w:ascii="Calibri" w:hAnsi="Calibri" w:cs="Calibri"/>
              </w:rPr>
              <w:t>rganisations receiving grants</w:t>
            </w:r>
          </w:p>
        </w:tc>
        <w:tc>
          <w:tcPr>
            <w:tcW w:w="6874" w:type="dxa"/>
            <w:shd w:val="clear" w:color="auto" w:fill="auto"/>
          </w:tcPr>
          <w:p w14:paraId="4B9C29DC" w14:textId="77777777" w:rsidR="00060805" w:rsidRDefault="00E366F9" w:rsidP="0096394D">
            <w:pPr>
              <w:pStyle w:val="02-NormInd1-BB"/>
              <w:ind w:left="0"/>
              <w:rPr>
                <w:rFonts w:ascii="Calibri" w:hAnsi="Calibri" w:cs="Calibri"/>
              </w:rPr>
            </w:pPr>
            <w:r>
              <w:rPr>
                <w:rFonts w:ascii="Calibri" w:hAnsi="Calibri" w:cs="Calibri"/>
              </w:rPr>
              <w:t>Number of organisations (in this case enterprises) that have received grants with the intention of improving productivity, innovation or accessing new markets.</w:t>
            </w:r>
          </w:p>
          <w:p w14:paraId="7A3B207B" w14:textId="21F472BF" w:rsidR="00E366F9" w:rsidRPr="00D2132A" w:rsidRDefault="00E366F9" w:rsidP="0096394D">
            <w:pPr>
              <w:pStyle w:val="02-NormInd1-BB"/>
              <w:ind w:left="0"/>
              <w:rPr>
                <w:rFonts w:ascii="Calibri" w:hAnsi="Calibri" w:cs="Calibri"/>
              </w:rPr>
            </w:pPr>
            <w:r>
              <w:rPr>
                <w:rFonts w:ascii="Calibri" w:hAnsi="Calibri" w:cs="Calibri"/>
              </w:rPr>
              <w:t>Grant means a cash payment by the project that is not repaid</w:t>
            </w:r>
          </w:p>
        </w:tc>
      </w:tr>
      <w:tr w:rsidR="00060805" w:rsidRPr="00D2132A" w14:paraId="06BC73E5" w14:textId="77777777" w:rsidTr="00060805">
        <w:tc>
          <w:tcPr>
            <w:tcW w:w="3190" w:type="dxa"/>
            <w:shd w:val="clear" w:color="auto" w:fill="auto"/>
          </w:tcPr>
          <w:p w14:paraId="552612A6" w14:textId="77777777" w:rsidR="00060805" w:rsidRPr="00D2132A" w:rsidRDefault="00060805" w:rsidP="0096394D">
            <w:pPr>
              <w:pStyle w:val="02-NormInd1-BB"/>
              <w:ind w:left="0"/>
              <w:jc w:val="left"/>
              <w:rPr>
                <w:rFonts w:ascii="Calibri" w:hAnsi="Calibri" w:cs="Calibri"/>
              </w:rPr>
            </w:pPr>
            <w:r w:rsidRPr="00D2132A">
              <w:rPr>
                <w:rFonts w:ascii="Calibri" w:hAnsi="Calibri" w:cs="Calibri"/>
              </w:rPr>
              <w:t>Number of farm businesses supported</w:t>
            </w:r>
          </w:p>
        </w:tc>
        <w:tc>
          <w:tcPr>
            <w:tcW w:w="6874" w:type="dxa"/>
            <w:shd w:val="clear" w:color="auto" w:fill="auto"/>
          </w:tcPr>
          <w:p w14:paraId="30A63E00" w14:textId="082FAC73" w:rsidR="00060805" w:rsidRPr="00D2132A" w:rsidRDefault="001E46FE" w:rsidP="0096394D">
            <w:pPr>
              <w:pStyle w:val="02-NormInd1-BB"/>
              <w:ind w:left="0"/>
              <w:rPr>
                <w:rFonts w:ascii="Calibri" w:hAnsi="Calibri" w:cs="Calibri"/>
              </w:rPr>
            </w:pPr>
            <w:r>
              <w:rPr>
                <w:rFonts w:ascii="Calibri" w:hAnsi="Calibri" w:cs="Calibri"/>
              </w:rPr>
              <w:t>Number of enterprises that have received non-financial support or grants, where the primary activity of the enterprise is farming (i.e. the occupation of land for the purpose of growing crops and/or the raising of farm livestock)</w:t>
            </w:r>
          </w:p>
        </w:tc>
      </w:tr>
      <w:tr w:rsidR="00060805" w:rsidRPr="00D2132A" w14:paraId="7D4D8365" w14:textId="77777777" w:rsidTr="00060805">
        <w:tc>
          <w:tcPr>
            <w:tcW w:w="3190" w:type="dxa"/>
            <w:shd w:val="clear" w:color="auto" w:fill="auto"/>
          </w:tcPr>
          <w:p w14:paraId="06B6C7C6" w14:textId="77777777" w:rsidR="00060805" w:rsidRPr="00D2132A" w:rsidRDefault="00060805" w:rsidP="0096394D">
            <w:pPr>
              <w:pStyle w:val="02-NormInd1-BB"/>
              <w:ind w:left="0"/>
              <w:jc w:val="left"/>
              <w:rPr>
                <w:rFonts w:ascii="Calibri" w:hAnsi="Calibri" w:cs="Calibri"/>
              </w:rPr>
            </w:pPr>
            <w:r w:rsidRPr="00D2132A">
              <w:rPr>
                <w:rFonts w:ascii="Calibri" w:hAnsi="Calibri" w:cs="Calibri"/>
              </w:rPr>
              <w:t>Number of farm diversification projects supported</w:t>
            </w:r>
          </w:p>
        </w:tc>
        <w:tc>
          <w:tcPr>
            <w:tcW w:w="6874" w:type="dxa"/>
            <w:shd w:val="clear" w:color="auto" w:fill="auto"/>
          </w:tcPr>
          <w:p w14:paraId="2D1AB785" w14:textId="12D93D68" w:rsidR="00060805" w:rsidRPr="00D2132A" w:rsidRDefault="001E46FE" w:rsidP="0096394D">
            <w:pPr>
              <w:pStyle w:val="02-NormInd1-BB"/>
              <w:ind w:left="0"/>
              <w:rPr>
                <w:rFonts w:ascii="Calibri" w:hAnsi="Calibri" w:cs="Calibri"/>
              </w:rPr>
            </w:pPr>
            <w:r>
              <w:rPr>
                <w:rFonts w:ascii="Calibri" w:hAnsi="Calibri" w:cs="Calibri"/>
              </w:rPr>
              <w:t>Number of enterprises that have received non-financial support or grants, where the enterprise is a farm business (as defined under ‘Number of farm businesses supported’) and where the purpose of the support is to diversify the activities of the enterprise away from farming</w:t>
            </w:r>
          </w:p>
        </w:tc>
      </w:tr>
      <w:tr w:rsidR="00060805" w:rsidRPr="00D2132A" w14:paraId="375FF179" w14:textId="77777777" w:rsidTr="00060805">
        <w:tc>
          <w:tcPr>
            <w:tcW w:w="3190" w:type="dxa"/>
            <w:shd w:val="clear" w:color="auto" w:fill="auto"/>
          </w:tcPr>
          <w:p w14:paraId="21B6A31E" w14:textId="77777777" w:rsidR="00060805" w:rsidRPr="00D2132A" w:rsidRDefault="00060805" w:rsidP="0096394D">
            <w:pPr>
              <w:pStyle w:val="02-NormInd1-BB"/>
              <w:ind w:left="0"/>
              <w:jc w:val="left"/>
              <w:rPr>
                <w:rFonts w:ascii="Calibri" w:hAnsi="Calibri" w:cs="Calibri"/>
              </w:rPr>
            </w:pPr>
            <w:r w:rsidRPr="00D2132A">
              <w:rPr>
                <w:rFonts w:ascii="Calibri" w:hAnsi="Calibri" w:cs="Calibri"/>
              </w:rPr>
              <w:lastRenderedPageBreak/>
              <w:t>Number of micro-businesses supported</w:t>
            </w:r>
          </w:p>
        </w:tc>
        <w:tc>
          <w:tcPr>
            <w:tcW w:w="6874" w:type="dxa"/>
            <w:shd w:val="clear" w:color="auto" w:fill="auto"/>
          </w:tcPr>
          <w:p w14:paraId="3A34A3E6" w14:textId="77777777" w:rsidR="00060805" w:rsidRDefault="00DB21E6" w:rsidP="0096394D">
            <w:pPr>
              <w:pStyle w:val="02-NormInd1-BB"/>
              <w:ind w:left="0"/>
              <w:rPr>
                <w:rFonts w:ascii="Calibri" w:hAnsi="Calibri" w:cs="Calibri"/>
              </w:rPr>
            </w:pPr>
            <w:r>
              <w:rPr>
                <w:rFonts w:ascii="Calibri" w:hAnsi="Calibri" w:cs="Calibri"/>
              </w:rPr>
              <w:t>Number of enterprises that have received non-financial support or grants, where the enterprise meets the definition of a micro-enterprise as defined at section 384A of the Companies Act 2006 (meeting any two of the following criteria):</w:t>
            </w:r>
          </w:p>
          <w:p w14:paraId="4E2D6830" w14:textId="77777777" w:rsidR="00DB21E6" w:rsidRDefault="00DB21E6" w:rsidP="00DB21E6">
            <w:pPr>
              <w:pStyle w:val="02-NormInd1-BB"/>
              <w:numPr>
                <w:ilvl w:val="0"/>
                <w:numId w:val="21"/>
              </w:numPr>
              <w:rPr>
                <w:rFonts w:ascii="Calibri" w:hAnsi="Calibri" w:cs="Calibri"/>
              </w:rPr>
            </w:pPr>
            <w:r>
              <w:rPr>
                <w:rFonts w:ascii="Calibri" w:hAnsi="Calibri" w:cs="Calibri"/>
              </w:rPr>
              <w:t>Annual turnover of £632,000 or less</w:t>
            </w:r>
          </w:p>
          <w:p w14:paraId="4704C284" w14:textId="77777777" w:rsidR="00DB21E6" w:rsidRDefault="00DB21E6" w:rsidP="00DB21E6">
            <w:pPr>
              <w:pStyle w:val="02-NormInd1-BB"/>
              <w:numPr>
                <w:ilvl w:val="0"/>
                <w:numId w:val="21"/>
              </w:numPr>
              <w:rPr>
                <w:rFonts w:ascii="Calibri" w:hAnsi="Calibri" w:cs="Calibri"/>
              </w:rPr>
            </w:pPr>
            <w:r>
              <w:rPr>
                <w:rFonts w:ascii="Calibri" w:hAnsi="Calibri" w:cs="Calibri"/>
              </w:rPr>
              <w:t>£316,000 or less on its balance sheet</w:t>
            </w:r>
          </w:p>
          <w:p w14:paraId="769C7F40" w14:textId="4FB3356A" w:rsidR="00DB21E6" w:rsidRPr="00D2132A" w:rsidRDefault="00DB21E6" w:rsidP="00DB21E6">
            <w:pPr>
              <w:pStyle w:val="02-NormInd1-BB"/>
              <w:numPr>
                <w:ilvl w:val="0"/>
                <w:numId w:val="21"/>
              </w:numPr>
              <w:rPr>
                <w:rFonts w:ascii="Calibri" w:hAnsi="Calibri" w:cs="Calibri"/>
              </w:rPr>
            </w:pPr>
            <w:r>
              <w:rPr>
                <w:rFonts w:ascii="Calibri" w:hAnsi="Calibri" w:cs="Calibri"/>
              </w:rPr>
              <w:t>10 employees or less</w:t>
            </w:r>
          </w:p>
        </w:tc>
      </w:tr>
      <w:tr w:rsidR="00060805" w:rsidRPr="00D2132A" w14:paraId="09D63E68" w14:textId="77777777" w:rsidTr="00060805">
        <w:tc>
          <w:tcPr>
            <w:tcW w:w="3190" w:type="dxa"/>
            <w:shd w:val="clear" w:color="auto" w:fill="auto"/>
          </w:tcPr>
          <w:p w14:paraId="76BF857F" w14:textId="77777777" w:rsidR="00060805" w:rsidRPr="00D2132A" w:rsidRDefault="00060805" w:rsidP="0096394D">
            <w:pPr>
              <w:pStyle w:val="02-NormInd1-BB"/>
              <w:ind w:left="0"/>
              <w:jc w:val="left"/>
              <w:rPr>
                <w:rFonts w:ascii="Calibri" w:hAnsi="Calibri" w:cs="Calibri"/>
              </w:rPr>
            </w:pPr>
            <w:r w:rsidRPr="00D2132A">
              <w:rPr>
                <w:rFonts w:ascii="Calibri" w:hAnsi="Calibri" w:cs="Calibri"/>
              </w:rPr>
              <w:t>Number of enterprises implementing measures to improve productivity</w:t>
            </w:r>
          </w:p>
        </w:tc>
        <w:tc>
          <w:tcPr>
            <w:tcW w:w="6874" w:type="dxa"/>
            <w:shd w:val="clear" w:color="auto" w:fill="auto"/>
          </w:tcPr>
          <w:p w14:paraId="35D6781E" w14:textId="77777777" w:rsidR="00060805" w:rsidRDefault="00C25588" w:rsidP="0096394D">
            <w:pPr>
              <w:pStyle w:val="02-NormInd1-BB"/>
              <w:ind w:left="0"/>
              <w:rPr>
                <w:rFonts w:ascii="Calibri" w:hAnsi="Calibri" w:cs="Calibri"/>
              </w:rPr>
            </w:pPr>
            <w:r>
              <w:rPr>
                <w:rFonts w:ascii="Calibri" w:hAnsi="Calibri" w:cs="Calibri"/>
              </w:rPr>
              <w:t>The number of enterprises which have implemented measures designed to improve productivity, as a result of support being provided.</w:t>
            </w:r>
          </w:p>
          <w:p w14:paraId="1DED8046" w14:textId="77777777" w:rsidR="00C25588" w:rsidRDefault="00C25588" w:rsidP="0096394D">
            <w:pPr>
              <w:pStyle w:val="02-NormInd1-BB"/>
              <w:ind w:left="0"/>
              <w:rPr>
                <w:rFonts w:ascii="Calibri" w:hAnsi="Calibri" w:cs="Calibri"/>
              </w:rPr>
            </w:pPr>
            <w:r>
              <w:rPr>
                <w:rFonts w:ascii="Calibri" w:hAnsi="Calibri" w:cs="Calibri"/>
              </w:rPr>
              <w:t>Improved productivity means an increase in the output of the enterprise per hour worked or per worker.</w:t>
            </w:r>
          </w:p>
          <w:p w14:paraId="1E43A076" w14:textId="193F052B" w:rsidR="00C25588" w:rsidRDefault="00C25588" w:rsidP="0096394D">
            <w:pPr>
              <w:pStyle w:val="02-NormInd1-BB"/>
              <w:ind w:left="0"/>
              <w:rPr>
                <w:rFonts w:ascii="Calibri" w:hAnsi="Calibri" w:cs="Calibri"/>
              </w:rPr>
            </w:pPr>
            <w:r>
              <w:rPr>
                <w:rFonts w:ascii="Calibri" w:hAnsi="Calibri" w:cs="Calibri"/>
              </w:rPr>
              <w:t>Implementation means the enterprise declaring that the methods or technique</w:t>
            </w:r>
            <w:r w:rsidR="007D18F5">
              <w:rPr>
                <w:rFonts w:ascii="Calibri" w:hAnsi="Calibri" w:cs="Calibri"/>
              </w:rPr>
              <w:t>s</w:t>
            </w:r>
            <w:r>
              <w:rPr>
                <w:rFonts w:ascii="Calibri" w:hAnsi="Calibri" w:cs="Calibri"/>
              </w:rPr>
              <w:t xml:space="preserve"> recommended as a result of support have</w:t>
            </w:r>
            <w:r w:rsidR="00D50C74">
              <w:rPr>
                <w:rFonts w:ascii="Calibri" w:hAnsi="Calibri" w:cs="Calibri"/>
              </w:rPr>
              <w:t xml:space="preserve"> been implemented into its working practices (details should be provided).</w:t>
            </w:r>
          </w:p>
          <w:p w14:paraId="2C715179" w14:textId="5CBCA42F" w:rsidR="00D50C74" w:rsidRPr="00D2132A" w:rsidRDefault="00D50C74" w:rsidP="0096394D">
            <w:pPr>
              <w:pStyle w:val="02-NormInd1-BB"/>
              <w:ind w:left="0"/>
              <w:rPr>
                <w:rFonts w:ascii="Calibri" w:hAnsi="Calibri" w:cs="Calibri"/>
              </w:rPr>
            </w:pPr>
            <w:r>
              <w:rPr>
                <w:rFonts w:ascii="Calibri" w:hAnsi="Calibri" w:cs="Calibri"/>
              </w:rPr>
              <w:t>Where data is available, improvements may be quantified through calculations to demonstrate increased gross value added (GVA) per hour or per worker</w:t>
            </w:r>
          </w:p>
        </w:tc>
      </w:tr>
      <w:tr w:rsidR="00060805" w:rsidRPr="00D2132A" w14:paraId="6EF82756" w14:textId="77777777" w:rsidTr="00060805">
        <w:tc>
          <w:tcPr>
            <w:tcW w:w="3190" w:type="dxa"/>
            <w:shd w:val="clear" w:color="auto" w:fill="auto"/>
          </w:tcPr>
          <w:p w14:paraId="7B24E0C9" w14:textId="77777777" w:rsidR="00060805" w:rsidRPr="00D2132A" w:rsidRDefault="00060805" w:rsidP="0096394D">
            <w:pPr>
              <w:pStyle w:val="02-NormInd1-BB"/>
              <w:ind w:left="0"/>
              <w:jc w:val="left"/>
              <w:rPr>
                <w:rFonts w:ascii="Calibri" w:hAnsi="Calibri" w:cs="Calibri"/>
              </w:rPr>
            </w:pPr>
            <w:r w:rsidRPr="00D2132A">
              <w:rPr>
                <w:rFonts w:ascii="Calibri" w:hAnsi="Calibri" w:cs="Calibri"/>
              </w:rPr>
              <w:t>Jobs created as a result of support</w:t>
            </w:r>
          </w:p>
        </w:tc>
        <w:tc>
          <w:tcPr>
            <w:tcW w:w="6874" w:type="dxa"/>
            <w:shd w:val="clear" w:color="auto" w:fill="auto"/>
          </w:tcPr>
          <w:p w14:paraId="72A66D34" w14:textId="77777777" w:rsidR="00060805" w:rsidRDefault="006E0A27" w:rsidP="0096394D">
            <w:pPr>
              <w:pStyle w:val="02-NormInd1-BB"/>
              <w:ind w:left="0"/>
              <w:rPr>
                <w:rFonts w:ascii="Calibri" w:hAnsi="Calibri" w:cs="Calibri"/>
              </w:rPr>
            </w:pPr>
            <w:r>
              <w:rPr>
                <w:rFonts w:ascii="Calibri" w:hAnsi="Calibri" w:cs="Calibri"/>
              </w:rPr>
              <w:t xml:space="preserve">The number of new, permanent, paid, full-time equivalent (FTE) jobs created following support. </w:t>
            </w:r>
            <w:r w:rsidR="0061330C">
              <w:rPr>
                <w:rFonts w:ascii="Calibri" w:hAnsi="Calibri" w:cs="Calibri"/>
              </w:rPr>
              <w:t>This includes both part-time and full-time jobs, which should be recorded relative to full-time equivalent (FTE).</w:t>
            </w:r>
          </w:p>
          <w:p w14:paraId="24697739" w14:textId="77777777" w:rsidR="0061330C" w:rsidRDefault="00642813" w:rsidP="0096394D">
            <w:pPr>
              <w:pStyle w:val="02-NormInd1-BB"/>
              <w:ind w:left="0"/>
              <w:rPr>
                <w:rFonts w:ascii="Calibri" w:hAnsi="Calibri" w:cs="Calibri"/>
              </w:rPr>
            </w:pPr>
            <w:r>
              <w:rPr>
                <w:rFonts w:ascii="Calibri" w:hAnsi="Calibri" w:cs="Calibri"/>
              </w:rPr>
              <w:t>New means it should not have existed with that employer before the intervention.</w:t>
            </w:r>
          </w:p>
          <w:p w14:paraId="71FC88CF" w14:textId="77777777" w:rsidR="00642813" w:rsidRDefault="00642813" w:rsidP="0096394D">
            <w:pPr>
              <w:pStyle w:val="02-NormInd1-BB"/>
              <w:ind w:left="0"/>
              <w:rPr>
                <w:rFonts w:ascii="Calibri" w:hAnsi="Calibri" w:cs="Calibri"/>
              </w:rPr>
            </w:pPr>
            <w:r>
              <w:rPr>
                <w:rFonts w:ascii="Calibri" w:hAnsi="Calibri" w:cs="Calibri"/>
              </w:rPr>
              <w:t>Permanent means it should have an intended life expectancy of at least 12 months from the point at which it is created.</w:t>
            </w:r>
          </w:p>
          <w:p w14:paraId="057CA8CC" w14:textId="77777777" w:rsidR="00642813" w:rsidRDefault="00642813" w:rsidP="0096394D">
            <w:pPr>
              <w:pStyle w:val="02-NormInd1-BB"/>
              <w:ind w:left="0"/>
              <w:rPr>
                <w:rFonts w:ascii="Calibri" w:hAnsi="Calibri" w:cs="Calibri"/>
              </w:rPr>
            </w:pPr>
            <w:r>
              <w:rPr>
                <w:rFonts w:ascii="Calibri" w:hAnsi="Calibri" w:cs="Calibri"/>
              </w:rPr>
              <w:t>Only count each individual FTE or job once through the lifetime of a project (i.e. it should not be counted every year).</w:t>
            </w:r>
          </w:p>
          <w:p w14:paraId="50D08A63" w14:textId="28A79C57" w:rsidR="00642813" w:rsidRPr="00D2132A" w:rsidRDefault="00642813" w:rsidP="0096394D">
            <w:pPr>
              <w:pStyle w:val="02-NormInd1-BB"/>
              <w:ind w:left="0"/>
              <w:rPr>
                <w:rFonts w:ascii="Calibri" w:hAnsi="Calibri" w:cs="Calibri"/>
              </w:rPr>
            </w:pPr>
            <w:r>
              <w:rPr>
                <w:rFonts w:ascii="Calibri" w:hAnsi="Calibri" w:cs="Calibri"/>
              </w:rPr>
              <w:t>FTE should be based on the standard full-time hours of the employer (an employee’s scheduled hours in relation to an employers’ hours for a full-time workweek)</w:t>
            </w:r>
          </w:p>
        </w:tc>
      </w:tr>
      <w:tr w:rsidR="00060805" w:rsidRPr="00D2132A" w14:paraId="141DA620" w14:textId="77777777" w:rsidTr="00060805">
        <w:tc>
          <w:tcPr>
            <w:tcW w:w="3190" w:type="dxa"/>
            <w:shd w:val="clear" w:color="auto" w:fill="auto"/>
          </w:tcPr>
          <w:p w14:paraId="4109EE13" w14:textId="77777777" w:rsidR="00060805" w:rsidRPr="00D2132A" w:rsidRDefault="00060805" w:rsidP="0096394D">
            <w:pPr>
              <w:pStyle w:val="02-NormInd1-BB"/>
              <w:ind w:left="0"/>
              <w:jc w:val="left"/>
              <w:rPr>
                <w:rFonts w:ascii="Calibri" w:hAnsi="Calibri" w:cs="Calibri"/>
              </w:rPr>
            </w:pPr>
            <w:r w:rsidRPr="00D2132A">
              <w:rPr>
                <w:rFonts w:ascii="Calibri" w:hAnsi="Calibri" w:cs="Calibri"/>
              </w:rPr>
              <w:t>Jobs safeguarded as a result of support</w:t>
            </w:r>
          </w:p>
        </w:tc>
        <w:tc>
          <w:tcPr>
            <w:tcW w:w="6874" w:type="dxa"/>
            <w:shd w:val="clear" w:color="auto" w:fill="auto"/>
          </w:tcPr>
          <w:p w14:paraId="34EDCA12" w14:textId="77777777" w:rsidR="00060805" w:rsidRDefault="005C0A71" w:rsidP="0096394D">
            <w:pPr>
              <w:pStyle w:val="02-NormInd1-BB"/>
              <w:ind w:left="0"/>
              <w:rPr>
                <w:rFonts w:ascii="Calibri" w:hAnsi="Calibri" w:cs="Calibri"/>
              </w:rPr>
            </w:pPr>
            <w:r>
              <w:rPr>
                <w:rFonts w:ascii="Calibri" w:hAnsi="Calibri" w:cs="Calibri"/>
              </w:rPr>
              <w:t>A safeguarded job is a permanent and paid job (including sole traders and business owners) that was at risk prior to support being provided, and which the support helped the business to retain. This includes both part-time and full-time jobs, which should be recorded relative to full-time equivalent (FTE).</w:t>
            </w:r>
          </w:p>
          <w:p w14:paraId="12B81DC5" w14:textId="3B6FF2F2" w:rsidR="005C0A71" w:rsidRDefault="005C0A71" w:rsidP="0096394D">
            <w:pPr>
              <w:pStyle w:val="02-NormInd1-BB"/>
              <w:ind w:left="0"/>
              <w:rPr>
                <w:rFonts w:ascii="Calibri" w:hAnsi="Calibri" w:cs="Calibri"/>
              </w:rPr>
            </w:pPr>
            <w:r>
              <w:rPr>
                <w:rFonts w:ascii="Calibri" w:hAnsi="Calibri" w:cs="Calibri"/>
              </w:rPr>
              <w:t xml:space="preserve">At risk is defined as being forecast to </w:t>
            </w:r>
            <w:r w:rsidR="0027104A">
              <w:rPr>
                <w:rFonts w:ascii="Calibri" w:hAnsi="Calibri" w:cs="Calibri"/>
              </w:rPr>
              <w:t>be</w:t>
            </w:r>
            <w:r>
              <w:rPr>
                <w:rFonts w:ascii="Calibri" w:hAnsi="Calibri" w:cs="Calibri"/>
              </w:rPr>
              <w:t xml:space="preserve"> lost within 6 months.</w:t>
            </w:r>
          </w:p>
          <w:p w14:paraId="1AB7AEFC" w14:textId="77777777" w:rsidR="005C0A71" w:rsidRDefault="005C0A71" w:rsidP="0096394D">
            <w:pPr>
              <w:pStyle w:val="02-NormInd1-BB"/>
              <w:ind w:left="0"/>
              <w:rPr>
                <w:rFonts w:ascii="Calibri" w:hAnsi="Calibri" w:cs="Calibri"/>
              </w:rPr>
            </w:pPr>
            <w:r>
              <w:rPr>
                <w:rFonts w:ascii="Calibri" w:hAnsi="Calibri" w:cs="Calibri"/>
              </w:rPr>
              <w:t>Only count each individual FTE or job once through the lifetime of a project (i.e. it should not be counted every year).</w:t>
            </w:r>
          </w:p>
          <w:p w14:paraId="34FF3508" w14:textId="0AC6A4A5" w:rsidR="005C0A71" w:rsidRPr="00D2132A" w:rsidRDefault="005C0A71" w:rsidP="0096394D">
            <w:pPr>
              <w:pStyle w:val="02-NormInd1-BB"/>
              <w:ind w:left="0"/>
              <w:rPr>
                <w:rFonts w:ascii="Calibri" w:hAnsi="Calibri" w:cs="Calibri"/>
              </w:rPr>
            </w:pPr>
            <w:r>
              <w:rPr>
                <w:rFonts w:ascii="Calibri" w:hAnsi="Calibri" w:cs="Calibri"/>
              </w:rPr>
              <w:t>FTE should be based on the standard full-time hours of the employer (an employee’s scheduled hours in relation to an employers’ hours for a full-time workweek)</w:t>
            </w:r>
          </w:p>
        </w:tc>
      </w:tr>
      <w:tr w:rsidR="00060805" w:rsidRPr="00D2132A" w14:paraId="15D97C22" w14:textId="77777777" w:rsidTr="00060805">
        <w:tc>
          <w:tcPr>
            <w:tcW w:w="3190" w:type="dxa"/>
            <w:shd w:val="clear" w:color="auto" w:fill="auto"/>
          </w:tcPr>
          <w:p w14:paraId="507AD890" w14:textId="77777777" w:rsidR="00060805" w:rsidRPr="00D2132A" w:rsidRDefault="00060805" w:rsidP="0096394D">
            <w:pPr>
              <w:pStyle w:val="02-NormInd1-BB"/>
              <w:ind w:left="0"/>
              <w:jc w:val="left"/>
              <w:rPr>
                <w:rFonts w:ascii="Calibri" w:hAnsi="Calibri" w:cs="Calibri"/>
              </w:rPr>
            </w:pPr>
            <w:r w:rsidRPr="00D2132A">
              <w:rPr>
                <w:rFonts w:ascii="Calibri" w:hAnsi="Calibri" w:cs="Calibri"/>
              </w:rPr>
              <w:t>Number of enterprises adopting new to the firm technologies or processes</w:t>
            </w:r>
          </w:p>
        </w:tc>
        <w:tc>
          <w:tcPr>
            <w:tcW w:w="6874" w:type="dxa"/>
            <w:shd w:val="clear" w:color="auto" w:fill="auto"/>
          </w:tcPr>
          <w:p w14:paraId="54D6FCD5" w14:textId="77777777" w:rsidR="00060805" w:rsidRDefault="00E07541" w:rsidP="0096394D">
            <w:pPr>
              <w:pStyle w:val="02-NormInd1-BB"/>
              <w:ind w:left="0"/>
              <w:rPr>
                <w:rFonts w:ascii="Calibri" w:hAnsi="Calibri" w:cs="Calibri"/>
              </w:rPr>
            </w:pPr>
            <w:r>
              <w:rPr>
                <w:rFonts w:ascii="Calibri" w:hAnsi="Calibri" w:cs="Calibri"/>
              </w:rPr>
              <w:t>The number of enterprises introducing a new to the firm technology or process (through external sources e.g. procurement).</w:t>
            </w:r>
          </w:p>
          <w:p w14:paraId="44C07F22" w14:textId="77777777" w:rsidR="00E07541" w:rsidRDefault="00E07541" w:rsidP="0096394D">
            <w:pPr>
              <w:pStyle w:val="02-NormInd1-BB"/>
              <w:ind w:left="0"/>
              <w:rPr>
                <w:rFonts w:ascii="Calibri" w:hAnsi="Calibri" w:cs="Calibri"/>
              </w:rPr>
            </w:pPr>
            <w:r>
              <w:rPr>
                <w:rFonts w:ascii="Calibri" w:hAnsi="Calibri" w:cs="Calibri"/>
              </w:rPr>
              <w:t>A technology or process is new to the firm if it did not use a technology or process with the same functionality before, or the production technology or process is fundamentally different from those already used. This may be tangible or intangible.</w:t>
            </w:r>
          </w:p>
          <w:p w14:paraId="13D2FC55" w14:textId="199FFF2A" w:rsidR="00E07541" w:rsidRPr="00D2132A" w:rsidRDefault="00E07541" w:rsidP="0096394D">
            <w:pPr>
              <w:pStyle w:val="02-NormInd1-BB"/>
              <w:ind w:left="0"/>
              <w:rPr>
                <w:rFonts w:ascii="Calibri" w:hAnsi="Calibri" w:cs="Calibri"/>
              </w:rPr>
            </w:pPr>
            <w:r>
              <w:rPr>
                <w:rFonts w:ascii="Calibri" w:hAnsi="Calibri" w:cs="Calibri"/>
              </w:rPr>
              <w:lastRenderedPageBreak/>
              <w:t>If an enterprise introduces multiple new technologies or processes, it is still counted as one enterprise.</w:t>
            </w:r>
          </w:p>
        </w:tc>
      </w:tr>
      <w:tr w:rsidR="00060805" w:rsidRPr="00D2132A" w14:paraId="6CAC5FC5" w14:textId="77777777" w:rsidTr="00060805">
        <w:tc>
          <w:tcPr>
            <w:tcW w:w="3190" w:type="dxa"/>
            <w:shd w:val="clear" w:color="auto" w:fill="auto"/>
          </w:tcPr>
          <w:p w14:paraId="537BEE61" w14:textId="77777777" w:rsidR="00060805" w:rsidRPr="00D2132A" w:rsidRDefault="00060805" w:rsidP="0096394D">
            <w:pPr>
              <w:pStyle w:val="02-NormInd1-BB"/>
              <w:ind w:left="0"/>
              <w:rPr>
                <w:rFonts w:ascii="Calibri" w:hAnsi="Calibri" w:cs="Calibri"/>
              </w:rPr>
            </w:pPr>
            <w:r w:rsidRPr="00D2132A">
              <w:rPr>
                <w:rFonts w:ascii="Calibri" w:hAnsi="Calibri" w:cs="Calibri"/>
              </w:rPr>
              <w:lastRenderedPageBreak/>
              <w:t>Number of enterprises experiencing growth</w:t>
            </w:r>
          </w:p>
        </w:tc>
        <w:tc>
          <w:tcPr>
            <w:tcW w:w="6874" w:type="dxa"/>
            <w:shd w:val="clear" w:color="auto" w:fill="auto"/>
          </w:tcPr>
          <w:p w14:paraId="1EE470F1" w14:textId="77777777" w:rsidR="00060805" w:rsidRDefault="00C16C81" w:rsidP="0096394D">
            <w:pPr>
              <w:pStyle w:val="02-NormInd1-BB"/>
              <w:ind w:left="0"/>
              <w:rPr>
                <w:rFonts w:ascii="Calibri" w:hAnsi="Calibri" w:cs="Calibri"/>
              </w:rPr>
            </w:pPr>
            <w:r>
              <w:rPr>
                <w:rFonts w:ascii="Calibri" w:hAnsi="Calibri" w:cs="Calibri"/>
              </w:rPr>
              <w:t>The number of enterprises where turnover has increased following support being provided.</w:t>
            </w:r>
          </w:p>
          <w:p w14:paraId="516A446B" w14:textId="77777777" w:rsidR="00C16C81" w:rsidRDefault="00C16C81" w:rsidP="0096394D">
            <w:pPr>
              <w:pStyle w:val="02-NormInd1-BB"/>
              <w:ind w:left="0"/>
              <w:rPr>
                <w:rFonts w:ascii="Calibri" w:hAnsi="Calibri" w:cs="Calibri"/>
              </w:rPr>
            </w:pPr>
            <w:r>
              <w:rPr>
                <w:rFonts w:ascii="Calibri" w:hAnsi="Calibri" w:cs="Calibri"/>
              </w:rPr>
              <w:t>Turnover means the amount of income derived from the provisions of goods or services within the enterprise’s ordinary activities, after deduction of trade discounts, VAT and other relevant taxes.</w:t>
            </w:r>
          </w:p>
          <w:p w14:paraId="5474EAC2" w14:textId="3B89CE3B" w:rsidR="00C16C81" w:rsidRPr="00D2132A" w:rsidRDefault="00C16C81" w:rsidP="0096394D">
            <w:pPr>
              <w:pStyle w:val="02-NormInd1-BB"/>
              <w:ind w:left="0"/>
              <w:rPr>
                <w:rFonts w:ascii="Calibri" w:hAnsi="Calibri" w:cs="Calibri"/>
              </w:rPr>
            </w:pPr>
            <w:r>
              <w:rPr>
                <w:rFonts w:ascii="Calibri" w:hAnsi="Calibri" w:cs="Calibri"/>
              </w:rPr>
              <w:t>Increased turnover should be quantified using comparable (year-on-year) analysis of the annual accounts of the enterprise</w:t>
            </w:r>
          </w:p>
        </w:tc>
      </w:tr>
      <w:tr w:rsidR="00060805" w:rsidRPr="00D2132A" w14:paraId="0A219FA7" w14:textId="77777777" w:rsidTr="00060805">
        <w:tc>
          <w:tcPr>
            <w:tcW w:w="3190" w:type="dxa"/>
            <w:shd w:val="clear" w:color="auto" w:fill="auto"/>
          </w:tcPr>
          <w:p w14:paraId="2BE308D8" w14:textId="77777777" w:rsidR="00060805" w:rsidRPr="00D2132A" w:rsidRDefault="00060805" w:rsidP="0096394D">
            <w:pPr>
              <w:pStyle w:val="02-NormInd1-BB"/>
              <w:ind w:left="0"/>
              <w:rPr>
                <w:rFonts w:ascii="Calibri" w:hAnsi="Calibri" w:cs="Calibri"/>
              </w:rPr>
            </w:pPr>
            <w:r w:rsidRPr="00D2132A">
              <w:rPr>
                <w:rFonts w:ascii="Calibri" w:hAnsi="Calibri" w:cs="Calibri"/>
              </w:rPr>
              <w:t>Private Sector Leverage</w:t>
            </w:r>
          </w:p>
        </w:tc>
        <w:tc>
          <w:tcPr>
            <w:tcW w:w="6874" w:type="dxa"/>
            <w:shd w:val="clear" w:color="auto" w:fill="auto"/>
          </w:tcPr>
          <w:p w14:paraId="3FD71F1C" w14:textId="797FCF49" w:rsidR="00060805" w:rsidRPr="00D2132A" w:rsidRDefault="00D62343" w:rsidP="0096394D">
            <w:pPr>
              <w:pStyle w:val="02-NormInd1-BB"/>
              <w:ind w:left="0"/>
              <w:rPr>
                <w:rFonts w:ascii="Calibri" w:hAnsi="Calibri" w:cs="Calibri"/>
              </w:rPr>
            </w:pPr>
            <w:r>
              <w:rPr>
                <w:rFonts w:ascii="Calibri" w:hAnsi="Calibri" w:cs="Calibri"/>
              </w:rPr>
              <w:t>Funding contributions from enterprises towards the costs of investment projects that are grant funded.</w:t>
            </w:r>
          </w:p>
        </w:tc>
      </w:tr>
    </w:tbl>
    <w:p w14:paraId="41721B83" w14:textId="77777777" w:rsidR="008A6B5D" w:rsidRPr="00D2132A" w:rsidRDefault="008A6B5D" w:rsidP="008A6B5D">
      <w:pPr>
        <w:pStyle w:val="NoSpacing"/>
        <w:jc w:val="both"/>
        <w:rPr>
          <w:rFonts w:eastAsia="Times New Roman"/>
        </w:rPr>
      </w:pPr>
    </w:p>
    <w:p w14:paraId="74A78E7E" w14:textId="77777777" w:rsidR="00126043" w:rsidRDefault="00126043" w:rsidP="00AE65BD">
      <w:pPr>
        <w:pStyle w:val="TOCHeader"/>
        <w:outlineLvl w:val="0"/>
        <w:rPr>
          <w:color w:val="auto"/>
        </w:rPr>
      </w:pPr>
    </w:p>
    <w:p w14:paraId="72B821E8" w14:textId="2AE02992" w:rsidR="00AE65BD" w:rsidRDefault="00AE65BD" w:rsidP="00AE65BD">
      <w:pPr>
        <w:pStyle w:val="TOCHeader"/>
        <w:outlineLvl w:val="0"/>
      </w:pPr>
      <w:bookmarkStart w:id="74" w:name="_Toc157694450"/>
      <w:r>
        <w:t>6</w:t>
      </w:r>
      <w:r w:rsidRPr="00C2122D">
        <w:t>.0</w:t>
      </w:r>
      <w:r w:rsidRPr="00C2122D">
        <w:tab/>
      </w:r>
      <w:r>
        <w:t>APPLICATIONS AND APPRAISAL</w:t>
      </w:r>
      <w:bookmarkEnd w:id="74"/>
    </w:p>
    <w:p w14:paraId="50324FCC" w14:textId="1CF9A550" w:rsidR="000011CF" w:rsidRPr="00D2132A" w:rsidRDefault="000011CF" w:rsidP="00B439E3">
      <w:pPr>
        <w:pStyle w:val="TOCHeader"/>
        <w:outlineLvl w:val="0"/>
        <w:rPr>
          <w:color w:val="auto"/>
        </w:rPr>
      </w:pPr>
    </w:p>
    <w:p w14:paraId="352C2DEF" w14:textId="7B605CA9" w:rsidR="00342EE1" w:rsidRPr="00D2132A" w:rsidRDefault="00A2250E" w:rsidP="00B439E3">
      <w:pPr>
        <w:pStyle w:val="TOC-Sub"/>
        <w:outlineLvl w:val="1"/>
        <w:rPr>
          <w:color w:val="auto"/>
        </w:rPr>
      </w:pPr>
      <w:bookmarkStart w:id="75" w:name="_Toc9585329"/>
      <w:bookmarkStart w:id="76" w:name="_Toc152159673"/>
      <w:bookmarkStart w:id="77" w:name="_Toc157694451"/>
      <w:r w:rsidRPr="00D2132A">
        <w:rPr>
          <w:color w:val="auto"/>
        </w:rPr>
        <w:t>6</w:t>
      </w:r>
      <w:r w:rsidR="00B37A71" w:rsidRPr="00D2132A">
        <w:rPr>
          <w:color w:val="auto"/>
        </w:rPr>
        <w:t>.1</w:t>
      </w:r>
      <w:r w:rsidR="00B37A71" w:rsidRPr="00D2132A">
        <w:rPr>
          <w:color w:val="auto"/>
        </w:rPr>
        <w:tab/>
      </w:r>
      <w:r w:rsidR="00342EE1" w:rsidRPr="00D2132A">
        <w:rPr>
          <w:color w:val="auto"/>
        </w:rPr>
        <w:t>Process</w:t>
      </w:r>
      <w:bookmarkEnd w:id="75"/>
      <w:bookmarkEnd w:id="76"/>
      <w:bookmarkEnd w:id="77"/>
    </w:p>
    <w:p w14:paraId="521F56F9" w14:textId="3DEAB0A3" w:rsidR="004F4708" w:rsidRPr="00D2132A" w:rsidRDefault="0015325B" w:rsidP="00B37A71">
      <w:pPr>
        <w:pStyle w:val="Bodycopy"/>
        <w:jc w:val="both"/>
        <w:rPr>
          <w:rFonts w:ascii="Calibri" w:hAnsi="Calibri" w:cs="Calibri"/>
          <w:color w:val="auto"/>
          <w:sz w:val="22"/>
          <w:szCs w:val="22"/>
        </w:rPr>
      </w:pPr>
      <w:r w:rsidRPr="00D2132A">
        <w:rPr>
          <w:rFonts w:ascii="Calibri" w:hAnsi="Calibri" w:cs="Calibri"/>
          <w:color w:val="auto"/>
          <w:sz w:val="22"/>
          <w:szCs w:val="22"/>
        </w:rPr>
        <w:t>The Fund will be operated on a competitive basis</w:t>
      </w:r>
      <w:r w:rsidR="00517F9F" w:rsidRPr="00D2132A">
        <w:rPr>
          <w:rFonts w:ascii="Calibri" w:hAnsi="Calibri" w:cs="Calibri"/>
          <w:color w:val="auto"/>
          <w:sz w:val="22"/>
          <w:szCs w:val="22"/>
        </w:rPr>
        <w:t>:</w:t>
      </w:r>
    </w:p>
    <w:p w14:paraId="175879C2" w14:textId="20AB0B3F" w:rsidR="007B1E37" w:rsidRPr="00D2132A" w:rsidRDefault="007B5E94" w:rsidP="000D0FA6">
      <w:pPr>
        <w:pStyle w:val="Bulletedtextlevel2"/>
        <w:numPr>
          <w:ilvl w:val="0"/>
          <w:numId w:val="8"/>
        </w:numPr>
        <w:jc w:val="both"/>
        <w:rPr>
          <w:rFonts w:ascii="Calibri" w:hAnsi="Calibri" w:cs="Calibri"/>
          <w:color w:val="auto"/>
          <w:sz w:val="22"/>
          <w:szCs w:val="22"/>
          <w:lang w:val="en-US"/>
        </w:rPr>
      </w:pPr>
      <w:r w:rsidRPr="00D2132A">
        <w:rPr>
          <w:rFonts w:ascii="Calibri" w:hAnsi="Calibri" w:cs="Calibri"/>
          <w:color w:val="auto"/>
          <w:sz w:val="22"/>
          <w:szCs w:val="22"/>
          <w:lang w:val="en-US"/>
        </w:rPr>
        <w:t>The first stage i</w:t>
      </w:r>
      <w:r w:rsidR="007B1E37" w:rsidRPr="00D2132A">
        <w:rPr>
          <w:rFonts w:ascii="Calibri" w:hAnsi="Calibri" w:cs="Calibri"/>
          <w:color w:val="auto"/>
          <w:sz w:val="22"/>
          <w:szCs w:val="22"/>
          <w:lang w:val="en-US"/>
        </w:rPr>
        <w:t>s submission of an Expression of Interest form (available at</w:t>
      </w:r>
      <w:r w:rsidR="000D0FA6" w:rsidRPr="00D2132A">
        <w:rPr>
          <w:rFonts w:ascii="Calibri" w:hAnsi="Calibri" w:cs="Calibri"/>
          <w:color w:val="auto"/>
          <w:sz w:val="22"/>
          <w:szCs w:val="22"/>
          <w:lang w:val="en-US"/>
        </w:rPr>
        <w:t xml:space="preserve"> </w:t>
      </w:r>
      <w:hyperlink r:id="rId19" w:history="1">
        <w:r w:rsidR="000D0FA6" w:rsidRPr="00794161">
          <w:rPr>
            <w:rStyle w:val="Hyperlink"/>
            <w:rFonts w:ascii="Calibri" w:hAnsi="Calibri" w:cs="Calibri"/>
            <w:color w:val="0070C0"/>
            <w:sz w:val="22"/>
            <w:szCs w:val="22"/>
            <w:lang w:val="en-US"/>
          </w:rPr>
          <w:t>www.cumbriagrowthhub.co.uk</w:t>
        </w:r>
      </w:hyperlink>
      <w:r w:rsidR="007B1E37" w:rsidRPr="00D2132A">
        <w:rPr>
          <w:rFonts w:ascii="Calibri" w:hAnsi="Calibri" w:cs="Calibri"/>
          <w:color w:val="auto"/>
          <w:sz w:val="22"/>
          <w:szCs w:val="22"/>
          <w:lang w:val="en-US"/>
        </w:rPr>
        <w:t>).</w:t>
      </w:r>
      <w:r w:rsidRPr="00D2132A">
        <w:rPr>
          <w:rFonts w:ascii="Calibri" w:hAnsi="Calibri" w:cs="Calibri"/>
          <w:color w:val="auto"/>
          <w:sz w:val="22"/>
          <w:szCs w:val="22"/>
          <w:lang w:val="en-US"/>
        </w:rPr>
        <w:t xml:space="preserve"> </w:t>
      </w:r>
      <w:r w:rsidR="000D0FA6" w:rsidRPr="00D2132A">
        <w:rPr>
          <w:rFonts w:ascii="Calibri" w:hAnsi="Calibri" w:cs="Calibri"/>
          <w:color w:val="auto"/>
          <w:sz w:val="22"/>
          <w:szCs w:val="22"/>
          <w:lang w:val="en-US"/>
        </w:rPr>
        <w:t>T</w:t>
      </w:r>
      <w:r w:rsidRPr="00D2132A">
        <w:rPr>
          <w:rFonts w:ascii="Calibri" w:hAnsi="Calibri" w:cs="Calibri"/>
          <w:color w:val="auto"/>
          <w:sz w:val="22"/>
          <w:szCs w:val="22"/>
          <w:lang w:val="en-US"/>
        </w:rPr>
        <w:t>his is reviewed against scheme criteria and if it is accepted a full application invited.</w:t>
      </w:r>
    </w:p>
    <w:p w14:paraId="3843BF26" w14:textId="0CB89652" w:rsidR="007B5E94" w:rsidRPr="00D2132A" w:rsidRDefault="003166A9" w:rsidP="00B37A71">
      <w:pPr>
        <w:pStyle w:val="Bulletedtextlevel2"/>
        <w:numPr>
          <w:ilvl w:val="0"/>
          <w:numId w:val="8"/>
        </w:numPr>
        <w:jc w:val="both"/>
        <w:rPr>
          <w:rFonts w:ascii="Calibri" w:hAnsi="Calibri" w:cs="Calibri"/>
          <w:color w:val="auto"/>
          <w:sz w:val="22"/>
          <w:szCs w:val="22"/>
        </w:rPr>
      </w:pPr>
      <w:r w:rsidRPr="00D2132A">
        <w:rPr>
          <w:rFonts w:ascii="Calibri" w:hAnsi="Calibri" w:cs="Calibri"/>
          <w:color w:val="auto"/>
          <w:sz w:val="22"/>
          <w:szCs w:val="22"/>
          <w:lang w:val="en-US"/>
        </w:rPr>
        <w:t>Advisers</w:t>
      </w:r>
      <w:r w:rsidR="007B5E94" w:rsidRPr="00D2132A">
        <w:rPr>
          <w:rFonts w:ascii="Calibri" w:hAnsi="Calibri" w:cs="Calibri"/>
          <w:color w:val="auto"/>
          <w:sz w:val="22"/>
          <w:szCs w:val="22"/>
        </w:rPr>
        <w:t xml:space="preserve"> </w:t>
      </w:r>
      <w:r w:rsidR="0047102C" w:rsidRPr="00D2132A">
        <w:rPr>
          <w:rFonts w:ascii="Calibri" w:hAnsi="Calibri" w:cs="Calibri"/>
          <w:color w:val="auto"/>
          <w:sz w:val="22"/>
          <w:szCs w:val="22"/>
        </w:rPr>
        <w:t>may be</w:t>
      </w:r>
      <w:r w:rsidR="007B5E94" w:rsidRPr="00D2132A">
        <w:rPr>
          <w:rFonts w:ascii="Calibri" w:hAnsi="Calibri" w:cs="Calibri"/>
          <w:color w:val="auto"/>
          <w:sz w:val="22"/>
          <w:szCs w:val="22"/>
        </w:rPr>
        <w:t xml:space="preserve"> available, at no charge to the applicant, to support completion of applications</w:t>
      </w:r>
      <w:r w:rsidR="006F53D9" w:rsidRPr="00D2132A">
        <w:rPr>
          <w:rFonts w:ascii="Calibri" w:hAnsi="Calibri" w:cs="Calibri"/>
          <w:color w:val="auto"/>
          <w:sz w:val="22"/>
          <w:szCs w:val="22"/>
        </w:rPr>
        <w:t>.</w:t>
      </w:r>
    </w:p>
    <w:p w14:paraId="22E86BED" w14:textId="531D575A" w:rsidR="000D0FA6" w:rsidRPr="00D627C0" w:rsidRDefault="000D0FA6" w:rsidP="00B37A71">
      <w:pPr>
        <w:pStyle w:val="Bulletedtextlevel2"/>
        <w:numPr>
          <w:ilvl w:val="0"/>
          <w:numId w:val="8"/>
        </w:numPr>
        <w:jc w:val="both"/>
        <w:rPr>
          <w:rFonts w:ascii="Calibri" w:hAnsi="Calibri" w:cs="Calibri"/>
          <w:color w:val="auto"/>
          <w:sz w:val="22"/>
          <w:szCs w:val="22"/>
        </w:rPr>
      </w:pPr>
      <w:r w:rsidRPr="00D2132A">
        <w:rPr>
          <w:rFonts w:ascii="Calibri" w:hAnsi="Calibri" w:cs="Calibri"/>
          <w:color w:val="auto"/>
          <w:sz w:val="22"/>
          <w:szCs w:val="22"/>
        </w:rPr>
        <w:t xml:space="preserve">There is an opportunity to submit EOIs for a Grant Panel in </w:t>
      </w:r>
      <w:r w:rsidR="007B1BE4" w:rsidRPr="00D627C0">
        <w:rPr>
          <w:rFonts w:ascii="Calibri" w:hAnsi="Calibri" w:cs="Calibri"/>
          <w:color w:val="auto"/>
          <w:sz w:val="22"/>
          <w:szCs w:val="22"/>
        </w:rPr>
        <w:t>May</w:t>
      </w:r>
      <w:r w:rsidRPr="00D627C0">
        <w:rPr>
          <w:rFonts w:ascii="Calibri" w:hAnsi="Calibri" w:cs="Calibri"/>
          <w:color w:val="auto"/>
          <w:sz w:val="22"/>
          <w:szCs w:val="22"/>
        </w:rPr>
        <w:t xml:space="preserve">. The deadline for EOIs to be considered at this Panel will be published on </w:t>
      </w:r>
      <w:bookmarkStart w:id="78" w:name="_Hlk150881716"/>
      <w:r w:rsidRPr="00794161">
        <w:rPr>
          <w:rFonts w:ascii="Calibri" w:hAnsi="Calibri" w:cs="Calibri"/>
          <w:color w:val="0070C0"/>
          <w:sz w:val="22"/>
          <w:szCs w:val="22"/>
        </w:rPr>
        <w:fldChar w:fldCharType="begin"/>
      </w:r>
      <w:r w:rsidRPr="00794161">
        <w:rPr>
          <w:rFonts w:ascii="Calibri" w:hAnsi="Calibri" w:cs="Calibri"/>
          <w:color w:val="0070C0"/>
          <w:sz w:val="22"/>
          <w:szCs w:val="22"/>
        </w:rPr>
        <w:instrText>HYPERLINK "http://www.cumbriagrowthhub.co.uk"</w:instrText>
      </w:r>
      <w:r w:rsidRPr="00794161">
        <w:rPr>
          <w:rFonts w:ascii="Calibri" w:hAnsi="Calibri" w:cs="Calibri"/>
          <w:color w:val="0070C0"/>
          <w:sz w:val="22"/>
          <w:szCs w:val="22"/>
        </w:rPr>
      </w:r>
      <w:r w:rsidRPr="00794161">
        <w:rPr>
          <w:rFonts w:ascii="Calibri" w:hAnsi="Calibri" w:cs="Calibri"/>
          <w:color w:val="0070C0"/>
          <w:sz w:val="22"/>
          <w:szCs w:val="22"/>
        </w:rPr>
        <w:fldChar w:fldCharType="separate"/>
      </w:r>
      <w:r w:rsidRPr="00794161">
        <w:rPr>
          <w:rStyle w:val="Hyperlink"/>
          <w:rFonts w:ascii="Calibri" w:hAnsi="Calibri" w:cs="Calibri"/>
          <w:color w:val="0070C0"/>
          <w:sz w:val="22"/>
          <w:szCs w:val="22"/>
        </w:rPr>
        <w:t>www.cumbriagrowthhub.co.uk</w:t>
      </w:r>
      <w:r w:rsidRPr="00794161">
        <w:rPr>
          <w:rFonts w:ascii="Calibri" w:hAnsi="Calibri" w:cs="Calibri"/>
          <w:color w:val="0070C0"/>
          <w:sz w:val="22"/>
          <w:szCs w:val="22"/>
        </w:rPr>
        <w:fldChar w:fldCharType="end"/>
      </w:r>
      <w:r w:rsidRPr="00D627C0">
        <w:rPr>
          <w:rFonts w:ascii="Calibri" w:hAnsi="Calibri" w:cs="Calibri"/>
          <w:color w:val="auto"/>
          <w:sz w:val="22"/>
          <w:szCs w:val="22"/>
        </w:rPr>
        <w:t>.</w:t>
      </w:r>
      <w:bookmarkEnd w:id="78"/>
    </w:p>
    <w:p w14:paraId="77B539BE" w14:textId="048BEDC3" w:rsidR="000D0FA6" w:rsidRPr="00D2132A" w:rsidRDefault="000D0FA6" w:rsidP="000D0FA6">
      <w:pPr>
        <w:pStyle w:val="Bulletedtextlevel2"/>
        <w:numPr>
          <w:ilvl w:val="0"/>
          <w:numId w:val="8"/>
        </w:numPr>
        <w:jc w:val="both"/>
        <w:rPr>
          <w:rFonts w:ascii="Calibri" w:hAnsi="Calibri" w:cs="Calibri"/>
          <w:color w:val="auto"/>
          <w:sz w:val="22"/>
          <w:szCs w:val="22"/>
        </w:rPr>
      </w:pPr>
      <w:r w:rsidRPr="00D627C0">
        <w:rPr>
          <w:rFonts w:ascii="Calibri" w:hAnsi="Calibri" w:cs="Calibri"/>
          <w:color w:val="auto"/>
          <w:sz w:val="22"/>
          <w:szCs w:val="22"/>
        </w:rPr>
        <w:t xml:space="preserve">A Grant Panel for consideration of full applications will be held in </w:t>
      </w:r>
      <w:r w:rsidR="00E37469" w:rsidRPr="00D627C0">
        <w:rPr>
          <w:rFonts w:ascii="Calibri" w:hAnsi="Calibri" w:cs="Calibri"/>
          <w:color w:val="auto"/>
          <w:sz w:val="22"/>
          <w:szCs w:val="22"/>
        </w:rPr>
        <w:t>August</w:t>
      </w:r>
      <w:r w:rsidRPr="00D627C0">
        <w:rPr>
          <w:rFonts w:ascii="Calibri" w:hAnsi="Calibri" w:cs="Calibri"/>
          <w:color w:val="auto"/>
          <w:sz w:val="22"/>
          <w:szCs w:val="22"/>
        </w:rPr>
        <w:t>.</w:t>
      </w:r>
      <w:r w:rsidRPr="00D2132A">
        <w:rPr>
          <w:rFonts w:ascii="Calibri" w:hAnsi="Calibri" w:cs="Calibri"/>
          <w:color w:val="auto"/>
          <w:sz w:val="22"/>
          <w:szCs w:val="22"/>
        </w:rPr>
        <w:t xml:space="preserve"> The deadline for applications to be considered at this Panel will be published on </w:t>
      </w:r>
      <w:hyperlink r:id="rId20" w:history="1">
        <w:r w:rsidRPr="008D2AD7">
          <w:rPr>
            <w:rStyle w:val="Hyperlink"/>
            <w:rFonts w:ascii="Calibri" w:hAnsi="Calibri" w:cs="Calibri"/>
            <w:color w:val="0070C0"/>
            <w:sz w:val="22"/>
            <w:szCs w:val="22"/>
          </w:rPr>
          <w:t>www.cumbria</w:t>
        </w:r>
        <w:r w:rsidRPr="008D2AD7">
          <w:rPr>
            <w:rStyle w:val="Hyperlink"/>
            <w:rFonts w:ascii="Calibri" w:hAnsi="Calibri" w:cs="Calibri"/>
            <w:color w:val="0070C0"/>
            <w:sz w:val="22"/>
            <w:szCs w:val="22"/>
          </w:rPr>
          <w:t>g</w:t>
        </w:r>
        <w:r w:rsidRPr="008D2AD7">
          <w:rPr>
            <w:rStyle w:val="Hyperlink"/>
            <w:rFonts w:ascii="Calibri" w:hAnsi="Calibri" w:cs="Calibri"/>
            <w:color w:val="0070C0"/>
            <w:sz w:val="22"/>
            <w:szCs w:val="22"/>
          </w:rPr>
          <w:t>rowthhub.co.uk</w:t>
        </w:r>
      </w:hyperlink>
      <w:r w:rsidRPr="00D2132A">
        <w:rPr>
          <w:rFonts w:ascii="Calibri" w:hAnsi="Calibri" w:cs="Calibri"/>
          <w:color w:val="auto"/>
          <w:sz w:val="22"/>
          <w:szCs w:val="22"/>
        </w:rPr>
        <w:t>.</w:t>
      </w:r>
    </w:p>
    <w:p w14:paraId="756F5D13" w14:textId="7F725BEB" w:rsidR="000D0FA6" w:rsidRPr="00D2132A" w:rsidRDefault="000D0FA6" w:rsidP="00B37A71">
      <w:pPr>
        <w:pStyle w:val="Bulletedtextlevel2"/>
        <w:numPr>
          <w:ilvl w:val="0"/>
          <w:numId w:val="8"/>
        </w:numPr>
        <w:jc w:val="both"/>
        <w:rPr>
          <w:rFonts w:ascii="Calibri" w:hAnsi="Calibri" w:cs="Calibri"/>
          <w:color w:val="auto"/>
          <w:sz w:val="22"/>
          <w:szCs w:val="22"/>
        </w:rPr>
      </w:pPr>
      <w:r w:rsidRPr="00D2132A">
        <w:rPr>
          <w:rFonts w:ascii="Calibri" w:hAnsi="Calibri" w:cs="Calibri"/>
          <w:color w:val="auto"/>
          <w:sz w:val="22"/>
          <w:szCs w:val="22"/>
        </w:rPr>
        <w:t xml:space="preserve">If funds remain available there will be another opportunity for EOIs and applications. If so this will be published on </w:t>
      </w:r>
      <w:hyperlink r:id="rId21" w:history="1">
        <w:r w:rsidRPr="00794161">
          <w:rPr>
            <w:rStyle w:val="Hyperlink"/>
            <w:rFonts w:ascii="Calibri" w:hAnsi="Calibri" w:cs="Calibri"/>
            <w:color w:val="0070C0"/>
            <w:sz w:val="22"/>
            <w:szCs w:val="22"/>
          </w:rPr>
          <w:t>www.cumbriagrowthhub.co.u</w:t>
        </w:r>
      </w:hyperlink>
      <w:r w:rsidR="002A6013" w:rsidRPr="00794161">
        <w:rPr>
          <w:color w:val="0070C0"/>
        </w:rPr>
        <w:t>k</w:t>
      </w:r>
    </w:p>
    <w:p w14:paraId="796FEBDC" w14:textId="37B53D51" w:rsidR="00D017D9" w:rsidRPr="00D2132A" w:rsidRDefault="00D017D9" w:rsidP="00D017D9">
      <w:pPr>
        <w:pStyle w:val="Bodycopy"/>
        <w:numPr>
          <w:ilvl w:val="0"/>
          <w:numId w:val="8"/>
        </w:numPr>
        <w:jc w:val="both"/>
        <w:rPr>
          <w:rFonts w:ascii="Calibri" w:hAnsi="Calibri" w:cs="Calibri"/>
          <w:color w:val="auto"/>
          <w:sz w:val="22"/>
          <w:szCs w:val="22"/>
        </w:rPr>
      </w:pPr>
      <w:r w:rsidRPr="00D2132A">
        <w:rPr>
          <w:rFonts w:ascii="Calibri" w:hAnsi="Calibri" w:cs="Calibri"/>
          <w:color w:val="auto"/>
          <w:sz w:val="22"/>
          <w:szCs w:val="22"/>
        </w:rPr>
        <w:t>Fully complete applications submitted by the deadline will be reviewed by the Chamber and recommendations submitted for consideration by the Grant Panel for discussion and decision.</w:t>
      </w:r>
    </w:p>
    <w:p w14:paraId="3F6F744C" w14:textId="77777777" w:rsidR="00D017D9" w:rsidRPr="00D2132A" w:rsidRDefault="00D017D9" w:rsidP="00D017D9">
      <w:pPr>
        <w:pStyle w:val="Bodycopy"/>
        <w:numPr>
          <w:ilvl w:val="0"/>
          <w:numId w:val="8"/>
        </w:numPr>
        <w:rPr>
          <w:rFonts w:ascii="Calibri" w:hAnsi="Calibri" w:cs="Calibri"/>
          <w:color w:val="auto"/>
          <w:sz w:val="22"/>
          <w:szCs w:val="22"/>
        </w:rPr>
      </w:pPr>
      <w:r w:rsidRPr="00D2132A">
        <w:rPr>
          <w:rFonts w:ascii="Calibri" w:hAnsi="Calibri" w:cs="Calibri"/>
          <w:color w:val="auto"/>
          <w:sz w:val="22"/>
          <w:szCs w:val="22"/>
        </w:rPr>
        <w:t>The appraisal by the Chamber will include due diligence at a level appropriate to the business and the size of the application against the scheme criteria. Applicants may be required to submit further information at this stage.</w:t>
      </w:r>
    </w:p>
    <w:p w14:paraId="35F34ADE" w14:textId="77777777" w:rsidR="000D0FA6" w:rsidRPr="00D2132A" w:rsidRDefault="000D0FA6" w:rsidP="000D0FA6">
      <w:pPr>
        <w:pStyle w:val="Bulletedtextlevel2"/>
        <w:numPr>
          <w:ilvl w:val="0"/>
          <w:numId w:val="0"/>
        </w:numPr>
        <w:ind w:left="142"/>
        <w:jc w:val="both"/>
        <w:rPr>
          <w:rFonts w:ascii="Calibri" w:hAnsi="Calibri" w:cs="Calibri"/>
          <w:color w:val="auto"/>
          <w:sz w:val="22"/>
          <w:szCs w:val="22"/>
        </w:rPr>
      </w:pPr>
    </w:p>
    <w:p w14:paraId="1C0191E6" w14:textId="6DB3ECBD" w:rsidR="000D0FA6" w:rsidRPr="00D2132A" w:rsidRDefault="000D0FA6" w:rsidP="000D0FA6">
      <w:pPr>
        <w:pStyle w:val="Bulletedtextlevel2"/>
        <w:numPr>
          <w:ilvl w:val="0"/>
          <w:numId w:val="0"/>
        </w:numPr>
        <w:ind w:left="142"/>
        <w:jc w:val="both"/>
        <w:rPr>
          <w:rFonts w:ascii="Calibri" w:hAnsi="Calibri" w:cs="Calibri"/>
          <w:color w:val="auto"/>
          <w:sz w:val="22"/>
          <w:szCs w:val="22"/>
        </w:rPr>
      </w:pPr>
      <w:r w:rsidRPr="00D2132A">
        <w:rPr>
          <w:rFonts w:ascii="Calibri" w:hAnsi="Calibri" w:cs="Calibri"/>
          <w:color w:val="auto"/>
          <w:sz w:val="22"/>
          <w:szCs w:val="22"/>
        </w:rPr>
        <w:t>All full applications must include:</w:t>
      </w:r>
    </w:p>
    <w:p w14:paraId="14BE1159" w14:textId="35BAEF17" w:rsidR="000D0FA6" w:rsidRPr="00D627C0" w:rsidRDefault="000D0FA6" w:rsidP="000D0FA6">
      <w:pPr>
        <w:pStyle w:val="Bulletedtextlevel2"/>
        <w:numPr>
          <w:ilvl w:val="0"/>
          <w:numId w:val="9"/>
        </w:numPr>
        <w:jc w:val="both"/>
        <w:rPr>
          <w:rFonts w:ascii="Calibri" w:hAnsi="Calibri" w:cs="Calibri"/>
          <w:color w:val="auto"/>
          <w:sz w:val="22"/>
          <w:szCs w:val="22"/>
        </w:rPr>
      </w:pPr>
      <w:r w:rsidRPr="00D627C0">
        <w:rPr>
          <w:rFonts w:ascii="Calibri" w:hAnsi="Calibri" w:cs="Calibri"/>
          <w:color w:val="auto"/>
          <w:sz w:val="22"/>
          <w:szCs w:val="22"/>
        </w:rPr>
        <w:t xml:space="preserve">A fully completed </w:t>
      </w:r>
      <w:r w:rsidR="00392B06" w:rsidRPr="00D627C0">
        <w:rPr>
          <w:rFonts w:ascii="Calibri" w:hAnsi="Calibri" w:cs="Calibri"/>
          <w:color w:val="auto"/>
          <w:sz w:val="22"/>
          <w:szCs w:val="22"/>
        </w:rPr>
        <w:t>and signed application form</w:t>
      </w:r>
    </w:p>
    <w:p w14:paraId="4E4A3B27" w14:textId="0D1D3D07" w:rsidR="00EE05AE" w:rsidRPr="00D627C0" w:rsidRDefault="000D0FA6" w:rsidP="00417B3D">
      <w:pPr>
        <w:pStyle w:val="Bulletedtextlevel2"/>
        <w:numPr>
          <w:ilvl w:val="0"/>
          <w:numId w:val="9"/>
        </w:numPr>
        <w:jc w:val="both"/>
        <w:rPr>
          <w:rFonts w:ascii="Calibri" w:hAnsi="Calibri" w:cs="Calibri"/>
          <w:color w:val="auto"/>
          <w:sz w:val="22"/>
          <w:szCs w:val="22"/>
        </w:rPr>
      </w:pPr>
      <w:r w:rsidRPr="00D627C0">
        <w:rPr>
          <w:rFonts w:ascii="Calibri" w:hAnsi="Calibri" w:cs="Calibri"/>
          <w:color w:val="auto"/>
          <w:sz w:val="22"/>
          <w:szCs w:val="22"/>
        </w:rPr>
        <w:t xml:space="preserve">A fully completed </w:t>
      </w:r>
      <w:r w:rsidR="00CF5B53" w:rsidRPr="00D627C0">
        <w:rPr>
          <w:rFonts w:ascii="Calibri" w:hAnsi="Calibri" w:cs="Calibri"/>
          <w:color w:val="auto"/>
          <w:sz w:val="22"/>
          <w:szCs w:val="22"/>
        </w:rPr>
        <w:t>and signed Subsidy Control Declaration</w:t>
      </w:r>
    </w:p>
    <w:p w14:paraId="59057DAF" w14:textId="7935DD09" w:rsidR="006E612B" w:rsidRPr="00AC12A2" w:rsidRDefault="006E612B" w:rsidP="006E612B">
      <w:pPr>
        <w:pStyle w:val="Bulletedtextlevel2"/>
        <w:numPr>
          <w:ilvl w:val="0"/>
          <w:numId w:val="9"/>
        </w:numPr>
        <w:jc w:val="both"/>
        <w:rPr>
          <w:rFonts w:ascii="Calibri" w:hAnsi="Calibri" w:cs="Calibri"/>
          <w:color w:val="auto"/>
          <w:sz w:val="22"/>
          <w:szCs w:val="22"/>
        </w:rPr>
      </w:pPr>
      <w:r w:rsidRPr="00AC12A2">
        <w:rPr>
          <w:rFonts w:ascii="Calibri" w:hAnsi="Calibri" w:cs="Calibri"/>
          <w:color w:val="auto"/>
          <w:sz w:val="22"/>
          <w:szCs w:val="22"/>
        </w:rPr>
        <w:t xml:space="preserve">Financial statements showing at least the last two years (fewer if the business has been trading for less) </w:t>
      </w:r>
    </w:p>
    <w:p w14:paraId="2B5C44A8" w14:textId="135F60EC" w:rsidR="00FC4DB3" w:rsidRPr="00AC12A2" w:rsidRDefault="00FC4DB3" w:rsidP="00417B3D">
      <w:pPr>
        <w:pStyle w:val="Bulletedtextlevel2"/>
        <w:numPr>
          <w:ilvl w:val="0"/>
          <w:numId w:val="9"/>
        </w:numPr>
        <w:jc w:val="both"/>
        <w:rPr>
          <w:rFonts w:ascii="Calibri" w:hAnsi="Calibri" w:cs="Calibri"/>
          <w:color w:val="auto"/>
          <w:sz w:val="22"/>
          <w:szCs w:val="22"/>
        </w:rPr>
      </w:pPr>
      <w:r w:rsidRPr="00AC12A2">
        <w:rPr>
          <w:rFonts w:ascii="Calibri" w:hAnsi="Calibri" w:cs="Calibri"/>
          <w:color w:val="auto"/>
          <w:sz w:val="22"/>
          <w:szCs w:val="22"/>
        </w:rPr>
        <w:t>Evidence of match funding</w:t>
      </w:r>
    </w:p>
    <w:p w14:paraId="2372677A" w14:textId="7E480106" w:rsidR="000D0FA6" w:rsidRPr="00AC12A2" w:rsidRDefault="000D0FA6" w:rsidP="00417B3D">
      <w:pPr>
        <w:pStyle w:val="Bulletedtextlevel2"/>
        <w:numPr>
          <w:ilvl w:val="0"/>
          <w:numId w:val="9"/>
        </w:numPr>
        <w:jc w:val="both"/>
        <w:rPr>
          <w:rFonts w:ascii="Calibri" w:hAnsi="Calibri" w:cs="Calibri"/>
          <w:color w:val="auto"/>
          <w:sz w:val="22"/>
          <w:szCs w:val="22"/>
        </w:rPr>
      </w:pPr>
      <w:r w:rsidRPr="00AC12A2">
        <w:rPr>
          <w:rFonts w:ascii="Calibri" w:hAnsi="Calibri" w:cs="Calibri"/>
          <w:color w:val="auto"/>
          <w:sz w:val="22"/>
          <w:szCs w:val="22"/>
        </w:rPr>
        <w:t>Evidence of planning approval</w:t>
      </w:r>
      <w:r w:rsidR="008413E4" w:rsidRPr="00AC12A2">
        <w:rPr>
          <w:rFonts w:ascii="Calibri" w:hAnsi="Calibri" w:cs="Calibri"/>
          <w:color w:val="auto"/>
          <w:sz w:val="22"/>
          <w:szCs w:val="22"/>
        </w:rPr>
        <w:t>/land status</w:t>
      </w:r>
      <w:r w:rsidRPr="00AC12A2">
        <w:rPr>
          <w:rFonts w:ascii="Calibri" w:hAnsi="Calibri" w:cs="Calibri"/>
          <w:color w:val="auto"/>
          <w:sz w:val="22"/>
          <w:szCs w:val="22"/>
        </w:rPr>
        <w:t xml:space="preserve"> (if applicable)</w:t>
      </w:r>
    </w:p>
    <w:p w14:paraId="47F1891C" w14:textId="67C311A2" w:rsidR="000D0FA6" w:rsidRPr="00AC12A2" w:rsidRDefault="000D0FA6" w:rsidP="000D0FA6">
      <w:pPr>
        <w:pStyle w:val="Bulletedtextlevel2"/>
        <w:numPr>
          <w:ilvl w:val="0"/>
          <w:numId w:val="9"/>
        </w:numPr>
        <w:jc w:val="both"/>
        <w:rPr>
          <w:rFonts w:ascii="Calibri" w:hAnsi="Calibri" w:cs="Calibri"/>
          <w:color w:val="auto"/>
          <w:sz w:val="22"/>
          <w:szCs w:val="22"/>
        </w:rPr>
      </w:pPr>
      <w:r w:rsidRPr="00AC12A2">
        <w:rPr>
          <w:rFonts w:ascii="Calibri" w:hAnsi="Calibri" w:cs="Calibri"/>
          <w:color w:val="auto"/>
          <w:sz w:val="22"/>
          <w:szCs w:val="22"/>
        </w:rPr>
        <w:t>Evidence of appropriate procurement</w:t>
      </w:r>
      <w:r w:rsidR="0005056F">
        <w:rPr>
          <w:rFonts w:ascii="Calibri" w:hAnsi="Calibri" w:cs="Calibri"/>
          <w:color w:val="auto"/>
          <w:sz w:val="22"/>
          <w:szCs w:val="22"/>
        </w:rPr>
        <w:t xml:space="preserve"> </w:t>
      </w:r>
      <w:r w:rsidR="0005056F" w:rsidRPr="00D627C0">
        <w:rPr>
          <w:rFonts w:ascii="Calibri" w:hAnsi="Calibri" w:cs="Calibri"/>
          <w:color w:val="auto"/>
          <w:sz w:val="22"/>
          <w:szCs w:val="22"/>
        </w:rPr>
        <w:t>(Quotes)</w:t>
      </w:r>
    </w:p>
    <w:p w14:paraId="2464A27C" w14:textId="77777777" w:rsidR="000D0FA6" w:rsidRPr="00D2132A" w:rsidRDefault="000D0FA6" w:rsidP="000D0FA6">
      <w:pPr>
        <w:pStyle w:val="Bulletedtextlevel2"/>
        <w:numPr>
          <w:ilvl w:val="0"/>
          <w:numId w:val="0"/>
        </w:numPr>
        <w:ind w:left="142"/>
        <w:jc w:val="both"/>
        <w:rPr>
          <w:rFonts w:ascii="Calibri" w:hAnsi="Calibri" w:cs="Calibri"/>
          <w:color w:val="auto"/>
          <w:sz w:val="22"/>
          <w:szCs w:val="22"/>
        </w:rPr>
      </w:pPr>
    </w:p>
    <w:p w14:paraId="637BA454" w14:textId="773A0446" w:rsidR="007B5E94" w:rsidRPr="00D2132A" w:rsidRDefault="00FC4DB3" w:rsidP="000D0FA6">
      <w:pPr>
        <w:pStyle w:val="Bulletedtextlevel2"/>
        <w:numPr>
          <w:ilvl w:val="0"/>
          <w:numId w:val="0"/>
        </w:numPr>
        <w:ind w:left="142"/>
        <w:jc w:val="both"/>
        <w:rPr>
          <w:rFonts w:ascii="Calibri" w:hAnsi="Calibri" w:cs="Calibri"/>
          <w:color w:val="auto"/>
          <w:sz w:val="22"/>
          <w:szCs w:val="22"/>
          <w:lang w:val="en-US"/>
        </w:rPr>
      </w:pPr>
      <w:r w:rsidRPr="00D2132A">
        <w:rPr>
          <w:rFonts w:ascii="Calibri" w:hAnsi="Calibri" w:cs="Calibri"/>
          <w:color w:val="auto"/>
          <w:sz w:val="22"/>
          <w:szCs w:val="22"/>
          <w:lang w:val="en-US"/>
        </w:rPr>
        <w:t xml:space="preserve">In addition </w:t>
      </w:r>
      <w:r w:rsidR="007B5E94" w:rsidRPr="00D2132A">
        <w:rPr>
          <w:rFonts w:ascii="Calibri" w:hAnsi="Calibri" w:cs="Calibri"/>
          <w:color w:val="auto"/>
          <w:sz w:val="22"/>
          <w:szCs w:val="22"/>
          <w:lang w:val="en-US"/>
        </w:rPr>
        <w:t>full applications</w:t>
      </w:r>
      <w:r w:rsidR="00E4017B" w:rsidRPr="00D2132A">
        <w:rPr>
          <w:rFonts w:ascii="Calibri" w:hAnsi="Calibri" w:cs="Calibri"/>
          <w:color w:val="auto"/>
          <w:sz w:val="22"/>
          <w:szCs w:val="22"/>
          <w:lang w:val="en-US"/>
        </w:rPr>
        <w:t xml:space="preserve"> over £</w:t>
      </w:r>
      <w:r w:rsidR="00EE05AE" w:rsidRPr="00D2132A">
        <w:rPr>
          <w:rFonts w:ascii="Calibri" w:hAnsi="Calibri" w:cs="Calibri"/>
          <w:color w:val="auto"/>
          <w:sz w:val="22"/>
          <w:szCs w:val="22"/>
          <w:lang w:val="en-US"/>
        </w:rPr>
        <w:t>10</w:t>
      </w:r>
      <w:r w:rsidR="00E4017B" w:rsidRPr="00D2132A">
        <w:rPr>
          <w:rFonts w:ascii="Calibri" w:hAnsi="Calibri" w:cs="Calibri"/>
          <w:color w:val="auto"/>
          <w:sz w:val="22"/>
          <w:szCs w:val="22"/>
          <w:lang w:val="en-US"/>
        </w:rPr>
        <w:t>,000</w:t>
      </w:r>
      <w:r w:rsidR="007B5E94" w:rsidRPr="00D2132A">
        <w:rPr>
          <w:rFonts w:ascii="Calibri" w:hAnsi="Calibri" w:cs="Calibri"/>
          <w:color w:val="auto"/>
          <w:sz w:val="22"/>
          <w:szCs w:val="22"/>
          <w:lang w:val="en-US"/>
        </w:rPr>
        <w:t xml:space="preserve"> must include the following information:</w:t>
      </w:r>
      <w:r w:rsidR="000D0FA6" w:rsidRPr="00D2132A">
        <w:rPr>
          <w:rFonts w:ascii="Calibri" w:hAnsi="Calibri" w:cs="Calibri"/>
          <w:color w:val="auto"/>
          <w:sz w:val="22"/>
          <w:szCs w:val="22"/>
          <w:lang w:val="en-US"/>
        </w:rPr>
        <w:t xml:space="preserve"> </w:t>
      </w:r>
    </w:p>
    <w:p w14:paraId="195C0DB9" w14:textId="3800F5D4" w:rsidR="007B5E94" w:rsidRPr="00D2132A" w:rsidRDefault="00FC4DB3" w:rsidP="000D0FA6">
      <w:pPr>
        <w:pStyle w:val="Bulletedtextlevel2"/>
        <w:numPr>
          <w:ilvl w:val="0"/>
          <w:numId w:val="10"/>
        </w:numPr>
        <w:jc w:val="both"/>
        <w:rPr>
          <w:rFonts w:ascii="Calibri" w:hAnsi="Calibri" w:cs="Calibri"/>
          <w:color w:val="auto"/>
          <w:sz w:val="22"/>
          <w:szCs w:val="22"/>
        </w:rPr>
      </w:pPr>
      <w:r w:rsidRPr="00D2132A">
        <w:rPr>
          <w:rFonts w:ascii="Calibri" w:hAnsi="Calibri" w:cs="Calibri"/>
          <w:color w:val="auto"/>
          <w:sz w:val="22"/>
          <w:szCs w:val="22"/>
        </w:rPr>
        <w:t>F</w:t>
      </w:r>
      <w:r w:rsidR="007B5E94" w:rsidRPr="00D2132A">
        <w:rPr>
          <w:rFonts w:ascii="Calibri" w:hAnsi="Calibri" w:cs="Calibri"/>
          <w:color w:val="auto"/>
          <w:sz w:val="22"/>
          <w:szCs w:val="22"/>
        </w:rPr>
        <w:t>ully completed financial appendices</w:t>
      </w:r>
      <w:r w:rsidR="00D3504F" w:rsidRPr="00D2132A">
        <w:rPr>
          <w:rFonts w:ascii="Calibri" w:hAnsi="Calibri" w:cs="Calibri"/>
          <w:color w:val="auto"/>
          <w:sz w:val="22"/>
          <w:szCs w:val="22"/>
        </w:rPr>
        <w:t xml:space="preserve"> </w:t>
      </w:r>
    </w:p>
    <w:p w14:paraId="0D91DBA9" w14:textId="5D0099AE" w:rsidR="007B5E94" w:rsidRPr="00D2132A" w:rsidRDefault="007B5E94" w:rsidP="000D0FA6">
      <w:pPr>
        <w:pStyle w:val="Bulletedtextlevel2"/>
        <w:numPr>
          <w:ilvl w:val="0"/>
          <w:numId w:val="10"/>
        </w:numPr>
        <w:jc w:val="both"/>
        <w:rPr>
          <w:rFonts w:ascii="Calibri" w:hAnsi="Calibri" w:cs="Calibri"/>
          <w:color w:val="auto"/>
          <w:sz w:val="22"/>
          <w:szCs w:val="22"/>
        </w:rPr>
      </w:pPr>
      <w:r w:rsidRPr="00D2132A">
        <w:rPr>
          <w:rFonts w:ascii="Calibri" w:hAnsi="Calibri" w:cs="Calibri"/>
          <w:color w:val="auto"/>
          <w:sz w:val="22"/>
          <w:szCs w:val="22"/>
        </w:rPr>
        <w:t>Up to date management accounts for the current year</w:t>
      </w:r>
      <w:r w:rsidR="00D3504F" w:rsidRPr="00D2132A">
        <w:rPr>
          <w:rFonts w:ascii="Calibri" w:hAnsi="Calibri" w:cs="Calibri"/>
          <w:color w:val="auto"/>
          <w:sz w:val="22"/>
          <w:szCs w:val="22"/>
        </w:rPr>
        <w:t xml:space="preserve"> </w:t>
      </w:r>
    </w:p>
    <w:p w14:paraId="5D1DC37E" w14:textId="77777777" w:rsidR="00FC4DB3" w:rsidRPr="00D2132A" w:rsidRDefault="00FC4DB3" w:rsidP="008413E4">
      <w:pPr>
        <w:pStyle w:val="Bodycopy"/>
        <w:jc w:val="both"/>
        <w:rPr>
          <w:rFonts w:ascii="Calibri" w:hAnsi="Calibri" w:cs="Calibri"/>
          <w:color w:val="auto"/>
          <w:sz w:val="22"/>
          <w:szCs w:val="22"/>
        </w:rPr>
      </w:pPr>
    </w:p>
    <w:p w14:paraId="7B4979A8" w14:textId="36D67A47" w:rsidR="00D017D9" w:rsidRPr="00D2132A" w:rsidRDefault="00D017D9" w:rsidP="008413E4">
      <w:pPr>
        <w:pStyle w:val="Bodycopy"/>
        <w:jc w:val="both"/>
        <w:rPr>
          <w:rFonts w:ascii="Calibri" w:hAnsi="Calibri" w:cs="Calibri"/>
          <w:color w:val="auto"/>
          <w:sz w:val="22"/>
          <w:szCs w:val="22"/>
        </w:rPr>
      </w:pPr>
      <w:r w:rsidRPr="00D2132A">
        <w:rPr>
          <w:rFonts w:ascii="Calibri" w:hAnsi="Calibri" w:cs="Calibri"/>
          <w:color w:val="auto"/>
          <w:sz w:val="22"/>
          <w:szCs w:val="22"/>
        </w:rPr>
        <w:lastRenderedPageBreak/>
        <w:t xml:space="preserve">Any application which does not include all the above information will not be considered. </w:t>
      </w:r>
      <w:r w:rsidR="008413E4" w:rsidRPr="00D2132A">
        <w:rPr>
          <w:rFonts w:ascii="Calibri" w:hAnsi="Calibri" w:cs="Calibri"/>
          <w:color w:val="auto"/>
          <w:sz w:val="22"/>
          <w:szCs w:val="22"/>
        </w:rPr>
        <w:t xml:space="preserve">Additional information may be required. </w:t>
      </w:r>
    </w:p>
    <w:p w14:paraId="46944CA9" w14:textId="77777777" w:rsidR="005B5086" w:rsidRPr="00D2132A" w:rsidRDefault="005B5086" w:rsidP="008413E4">
      <w:pPr>
        <w:pStyle w:val="Bodycopy"/>
        <w:jc w:val="both"/>
        <w:rPr>
          <w:rFonts w:ascii="Calibri" w:hAnsi="Calibri" w:cs="Calibri"/>
          <w:color w:val="auto"/>
          <w:sz w:val="22"/>
          <w:szCs w:val="22"/>
        </w:rPr>
      </w:pPr>
    </w:p>
    <w:p w14:paraId="26DE98CE" w14:textId="4B332D94" w:rsidR="009C42CE" w:rsidRPr="00D2132A" w:rsidRDefault="00A2250E" w:rsidP="00B439E3">
      <w:pPr>
        <w:pStyle w:val="TOC-Sub"/>
        <w:outlineLvl w:val="1"/>
        <w:rPr>
          <w:color w:val="auto"/>
        </w:rPr>
      </w:pPr>
      <w:bookmarkStart w:id="79" w:name="_Toc9585330"/>
      <w:bookmarkStart w:id="80" w:name="_Toc152159674"/>
      <w:bookmarkStart w:id="81" w:name="_Toc157694452"/>
      <w:r w:rsidRPr="00D2132A">
        <w:rPr>
          <w:color w:val="auto"/>
        </w:rPr>
        <w:t>6</w:t>
      </w:r>
      <w:r w:rsidR="00D017D9" w:rsidRPr="00D2132A">
        <w:rPr>
          <w:color w:val="auto"/>
        </w:rPr>
        <w:t>.2</w:t>
      </w:r>
      <w:r w:rsidR="00D017D9" w:rsidRPr="00D2132A">
        <w:rPr>
          <w:color w:val="auto"/>
        </w:rPr>
        <w:tab/>
      </w:r>
      <w:r w:rsidR="006C3313" w:rsidRPr="00D2132A">
        <w:rPr>
          <w:color w:val="auto"/>
        </w:rPr>
        <w:t xml:space="preserve">Decisions by the </w:t>
      </w:r>
      <w:r w:rsidR="00E4017B" w:rsidRPr="00D2132A">
        <w:rPr>
          <w:color w:val="auto"/>
        </w:rPr>
        <w:t>Grant</w:t>
      </w:r>
      <w:r w:rsidR="0047102C" w:rsidRPr="00D2132A">
        <w:rPr>
          <w:color w:val="auto"/>
        </w:rPr>
        <w:t xml:space="preserve"> Panel</w:t>
      </w:r>
      <w:bookmarkEnd w:id="79"/>
      <w:bookmarkEnd w:id="80"/>
      <w:bookmarkEnd w:id="81"/>
    </w:p>
    <w:p w14:paraId="6CCFA24E" w14:textId="048EA0A1" w:rsidR="00D017D9" w:rsidRPr="00D2132A" w:rsidRDefault="009C42CE" w:rsidP="00D017D9">
      <w:pPr>
        <w:pStyle w:val="Bodycopy"/>
        <w:jc w:val="both"/>
        <w:rPr>
          <w:rFonts w:ascii="Calibri" w:hAnsi="Calibri" w:cs="Calibri"/>
          <w:color w:val="auto"/>
          <w:sz w:val="22"/>
          <w:szCs w:val="22"/>
          <w:lang w:val="en-US"/>
        </w:rPr>
      </w:pPr>
      <w:r w:rsidRPr="00D2132A">
        <w:rPr>
          <w:rFonts w:ascii="Calibri" w:hAnsi="Calibri" w:cs="Calibri"/>
          <w:color w:val="auto"/>
          <w:sz w:val="22"/>
          <w:szCs w:val="22"/>
        </w:rPr>
        <w:t xml:space="preserve">The </w:t>
      </w:r>
      <w:r w:rsidR="00E26468" w:rsidRPr="00D2132A">
        <w:rPr>
          <w:rFonts w:ascii="Calibri" w:hAnsi="Calibri" w:cs="Calibri"/>
          <w:color w:val="auto"/>
          <w:sz w:val="22"/>
          <w:szCs w:val="22"/>
        </w:rPr>
        <w:t>Grant</w:t>
      </w:r>
      <w:r w:rsidRPr="00D2132A">
        <w:rPr>
          <w:rFonts w:ascii="Calibri" w:hAnsi="Calibri" w:cs="Calibri"/>
          <w:color w:val="auto"/>
          <w:sz w:val="22"/>
          <w:szCs w:val="22"/>
        </w:rPr>
        <w:t xml:space="preserve"> Panel will be chaired by</w:t>
      </w:r>
      <w:r w:rsidR="00E4017B" w:rsidRPr="00D2132A">
        <w:rPr>
          <w:rFonts w:ascii="Calibri" w:hAnsi="Calibri" w:cs="Calibri"/>
          <w:color w:val="auto"/>
          <w:sz w:val="22"/>
          <w:szCs w:val="22"/>
        </w:rPr>
        <w:t xml:space="preserve"> </w:t>
      </w:r>
      <w:r w:rsidR="00A67F5D" w:rsidRPr="00D2132A">
        <w:rPr>
          <w:rFonts w:ascii="Calibri" w:hAnsi="Calibri" w:cs="Calibri"/>
          <w:color w:val="auto"/>
          <w:sz w:val="22"/>
          <w:szCs w:val="22"/>
        </w:rPr>
        <w:t>The Managing Director</w:t>
      </w:r>
      <w:r w:rsidR="00E4017B" w:rsidRPr="00D2132A">
        <w:rPr>
          <w:rFonts w:ascii="Calibri" w:hAnsi="Calibri" w:cs="Calibri"/>
          <w:color w:val="auto"/>
          <w:sz w:val="22"/>
          <w:szCs w:val="22"/>
        </w:rPr>
        <w:t xml:space="preserve">, </w:t>
      </w:r>
      <w:r w:rsidR="00136AB6" w:rsidRPr="00D2132A">
        <w:rPr>
          <w:rFonts w:ascii="Calibri" w:hAnsi="Calibri" w:cs="Calibri"/>
          <w:color w:val="auto"/>
          <w:sz w:val="22"/>
          <w:szCs w:val="22"/>
        </w:rPr>
        <w:t>Cumbria Chamber of Commerce</w:t>
      </w:r>
      <w:r w:rsidR="00E4017B" w:rsidRPr="00D2132A">
        <w:rPr>
          <w:rFonts w:ascii="Calibri" w:hAnsi="Calibri" w:cs="Calibri"/>
          <w:color w:val="auto"/>
          <w:sz w:val="22"/>
          <w:szCs w:val="22"/>
        </w:rPr>
        <w:t xml:space="preserve">, </w:t>
      </w:r>
      <w:r w:rsidRPr="00D2132A">
        <w:rPr>
          <w:rFonts w:ascii="Calibri" w:hAnsi="Calibri" w:cs="Calibri"/>
          <w:color w:val="auto"/>
          <w:sz w:val="22"/>
          <w:szCs w:val="22"/>
        </w:rPr>
        <w:t xml:space="preserve">and </w:t>
      </w:r>
      <w:r w:rsidR="0041787F" w:rsidRPr="00D2132A">
        <w:rPr>
          <w:rFonts w:ascii="Calibri" w:hAnsi="Calibri" w:cs="Calibri"/>
          <w:color w:val="auto"/>
          <w:sz w:val="22"/>
          <w:szCs w:val="22"/>
        </w:rPr>
        <w:t xml:space="preserve">will </w:t>
      </w:r>
      <w:r w:rsidR="00D017D9" w:rsidRPr="00D2132A">
        <w:rPr>
          <w:rFonts w:ascii="Calibri" w:hAnsi="Calibri" w:cs="Calibri"/>
          <w:color w:val="auto"/>
          <w:sz w:val="22"/>
          <w:szCs w:val="22"/>
        </w:rPr>
        <w:t xml:space="preserve">be </w:t>
      </w:r>
      <w:r w:rsidR="008413E4" w:rsidRPr="00D2132A">
        <w:rPr>
          <w:rFonts w:ascii="Calibri" w:hAnsi="Calibri" w:cs="Calibri"/>
          <w:color w:val="auto"/>
          <w:sz w:val="22"/>
          <w:szCs w:val="22"/>
        </w:rPr>
        <w:t xml:space="preserve"> </w:t>
      </w:r>
      <w:r w:rsidR="00D017D9" w:rsidRPr="00D2132A">
        <w:rPr>
          <w:rFonts w:ascii="Calibri" w:hAnsi="Calibri" w:cs="Calibri"/>
          <w:color w:val="auto"/>
          <w:sz w:val="22"/>
          <w:szCs w:val="22"/>
        </w:rPr>
        <w:t>appropriately experienced and qualified</w:t>
      </w:r>
      <w:r w:rsidR="00E4017B" w:rsidRPr="00D2132A">
        <w:rPr>
          <w:rFonts w:ascii="Calibri" w:hAnsi="Calibri" w:cs="Calibri"/>
          <w:color w:val="auto"/>
          <w:sz w:val="22"/>
          <w:szCs w:val="22"/>
        </w:rPr>
        <w:t>. The Chair will have the casting vote if required.</w:t>
      </w:r>
      <w:r w:rsidR="00D017D9" w:rsidRPr="00D2132A">
        <w:rPr>
          <w:rFonts w:ascii="Calibri" w:hAnsi="Calibri" w:cs="Calibri"/>
          <w:color w:val="auto"/>
          <w:sz w:val="22"/>
          <w:szCs w:val="22"/>
        </w:rPr>
        <w:t xml:space="preserve"> </w:t>
      </w:r>
      <w:r w:rsidR="00D017D9" w:rsidRPr="00D2132A">
        <w:rPr>
          <w:rFonts w:ascii="Calibri" w:hAnsi="Calibri" w:cs="Calibri"/>
          <w:color w:val="auto"/>
          <w:sz w:val="22"/>
          <w:szCs w:val="22"/>
          <w:lang w:val="en-US"/>
        </w:rPr>
        <w:t>The ultimate decision on whether a project should be supported rests with the Grant Panel.</w:t>
      </w:r>
    </w:p>
    <w:p w14:paraId="381FA7FF" w14:textId="77777777" w:rsidR="00E4017B" w:rsidRPr="00D2132A" w:rsidRDefault="00E4017B" w:rsidP="00D017D9">
      <w:pPr>
        <w:pStyle w:val="Bodycopy"/>
        <w:jc w:val="both"/>
        <w:rPr>
          <w:rFonts w:ascii="Calibri" w:hAnsi="Calibri" w:cs="Calibri"/>
          <w:color w:val="auto"/>
          <w:sz w:val="22"/>
          <w:szCs w:val="22"/>
          <w:lang w:val="en-US"/>
        </w:rPr>
      </w:pPr>
    </w:p>
    <w:p w14:paraId="3460AB3F" w14:textId="5F971CEE" w:rsidR="009C42CE" w:rsidRPr="00D2132A" w:rsidRDefault="009C42CE" w:rsidP="00D017D9">
      <w:pPr>
        <w:pStyle w:val="Bodycopy"/>
        <w:jc w:val="both"/>
        <w:rPr>
          <w:rFonts w:ascii="Calibri" w:hAnsi="Calibri" w:cs="Calibri"/>
          <w:color w:val="auto"/>
          <w:sz w:val="22"/>
          <w:szCs w:val="22"/>
        </w:rPr>
      </w:pPr>
      <w:r w:rsidRPr="00D2132A">
        <w:rPr>
          <w:rFonts w:ascii="Calibri" w:hAnsi="Calibri" w:cs="Calibri"/>
          <w:color w:val="auto"/>
          <w:sz w:val="22"/>
          <w:szCs w:val="22"/>
        </w:rPr>
        <w:t>Any Panel member with a conflict of interest relating to a particular application will not take part in the</w:t>
      </w:r>
      <w:r w:rsidR="00D017D9" w:rsidRPr="00D2132A">
        <w:rPr>
          <w:rFonts w:ascii="Calibri" w:hAnsi="Calibri" w:cs="Calibri"/>
          <w:color w:val="auto"/>
          <w:sz w:val="22"/>
          <w:szCs w:val="22"/>
        </w:rPr>
        <w:t xml:space="preserve"> </w:t>
      </w:r>
      <w:r w:rsidR="005B334D" w:rsidRPr="00D2132A">
        <w:rPr>
          <w:rFonts w:ascii="Calibri" w:hAnsi="Calibri" w:cs="Calibri"/>
          <w:color w:val="auto"/>
          <w:sz w:val="22"/>
          <w:szCs w:val="22"/>
        </w:rPr>
        <w:t>appraisal,</w:t>
      </w:r>
      <w:r w:rsidRPr="00D2132A">
        <w:rPr>
          <w:rFonts w:ascii="Calibri" w:hAnsi="Calibri" w:cs="Calibri"/>
          <w:color w:val="auto"/>
          <w:sz w:val="22"/>
          <w:szCs w:val="22"/>
        </w:rPr>
        <w:t xml:space="preserve"> discussion of and decision on that application.</w:t>
      </w:r>
    </w:p>
    <w:p w14:paraId="75313CBE" w14:textId="77777777" w:rsidR="00D1645E" w:rsidRPr="00D2132A" w:rsidRDefault="00D1645E" w:rsidP="00D017D9">
      <w:pPr>
        <w:pStyle w:val="Bodycopy"/>
        <w:jc w:val="both"/>
        <w:rPr>
          <w:rFonts w:ascii="Calibri" w:hAnsi="Calibri" w:cs="Calibri"/>
          <w:color w:val="auto"/>
          <w:sz w:val="22"/>
          <w:szCs w:val="22"/>
          <w:lang w:val="en-US"/>
        </w:rPr>
      </w:pPr>
    </w:p>
    <w:p w14:paraId="7CF4430D" w14:textId="77777777" w:rsidR="007B1E37" w:rsidRPr="00D2132A" w:rsidRDefault="00D1645E" w:rsidP="00D017D9">
      <w:pPr>
        <w:pStyle w:val="Bodycopy"/>
        <w:jc w:val="both"/>
        <w:rPr>
          <w:rFonts w:ascii="Calibri" w:hAnsi="Calibri" w:cs="Calibri"/>
          <w:color w:val="auto"/>
          <w:sz w:val="22"/>
          <w:szCs w:val="22"/>
        </w:rPr>
      </w:pPr>
      <w:r w:rsidRPr="00D2132A">
        <w:rPr>
          <w:rFonts w:ascii="Calibri" w:hAnsi="Calibri" w:cs="Calibri"/>
          <w:color w:val="auto"/>
          <w:sz w:val="22"/>
          <w:szCs w:val="22"/>
          <w:lang w:val="en-US"/>
        </w:rPr>
        <w:t xml:space="preserve">Once the Grant Panel has made its decision the applicant is informed in writing, along with a </w:t>
      </w:r>
      <w:r w:rsidR="00452678" w:rsidRPr="00D2132A">
        <w:rPr>
          <w:rFonts w:ascii="Calibri" w:hAnsi="Calibri" w:cs="Calibri"/>
          <w:color w:val="auto"/>
          <w:sz w:val="22"/>
          <w:szCs w:val="22"/>
        </w:rPr>
        <w:t>fo</w:t>
      </w:r>
      <w:r w:rsidR="007B1E37" w:rsidRPr="00D2132A">
        <w:rPr>
          <w:rFonts w:ascii="Calibri" w:hAnsi="Calibri" w:cs="Calibri"/>
          <w:color w:val="auto"/>
          <w:sz w:val="22"/>
          <w:szCs w:val="22"/>
        </w:rPr>
        <w:t xml:space="preserve">rmal offer </w:t>
      </w:r>
      <w:r w:rsidRPr="00D2132A">
        <w:rPr>
          <w:rFonts w:ascii="Calibri" w:hAnsi="Calibri" w:cs="Calibri"/>
          <w:color w:val="auto"/>
          <w:sz w:val="22"/>
          <w:szCs w:val="22"/>
        </w:rPr>
        <w:t xml:space="preserve">letter. </w:t>
      </w:r>
      <w:r w:rsidR="0041787F" w:rsidRPr="00D2132A">
        <w:rPr>
          <w:rFonts w:ascii="Calibri" w:hAnsi="Calibri" w:cs="Calibri"/>
          <w:color w:val="auto"/>
          <w:sz w:val="22"/>
          <w:szCs w:val="22"/>
        </w:rPr>
        <w:t xml:space="preserve">The </w:t>
      </w:r>
      <w:r w:rsidR="007B1E37" w:rsidRPr="00D2132A">
        <w:rPr>
          <w:rFonts w:ascii="Calibri" w:hAnsi="Calibri" w:cs="Calibri"/>
          <w:color w:val="auto"/>
          <w:sz w:val="22"/>
          <w:szCs w:val="22"/>
        </w:rPr>
        <w:t xml:space="preserve">applicant can commit to the project once this formal offer of assistance has been made but not before. </w:t>
      </w:r>
    </w:p>
    <w:p w14:paraId="41BD37A5" w14:textId="10298DAA" w:rsidR="0041787F" w:rsidRPr="00D2132A" w:rsidRDefault="00A2250E" w:rsidP="00B439E3">
      <w:pPr>
        <w:pStyle w:val="TOC-Sub"/>
        <w:outlineLvl w:val="1"/>
        <w:rPr>
          <w:color w:val="auto"/>
        </w:rPr>
      </w:pPr>
      <w:bookmarkStart w:id="82" w:name="_Toc9585331"/>
      <w:bookmarkStart w:id="83" w:name="_Toc152159675"/>
      <w:bookmarkStart w:id="84" w:name="_Toc157694453"/>
      <w:r w:rsidRPr="00D2132A">
        <w:rPr>
          <w:color w:val="auto"/>
        </w:rPr>
        <w:t>6</w:t>
      </w:r>
      <w:r w:rsidR="00D017D9" w:rsidRPr="00D2132A">
        <w:rPr>
          <w:color w:val="auto"/>
        </w:rPr>
        <w:t>.</w:t>
      </w:r>
      <w:r w:rsidR="008413E4" w:rsidRPr="00D2132A">
        <w:rPr>
          <w:color w:val="auto"/>
        </w:rPr>
        <w:t>3</w:t>
      </w:r>
      <w:r w:rsidR="00D017D9" w:rsidRPr="00D2132A">
        <w:rPr>
          <w:color w:val="auto"/>
        </w:rPr>
        <w:tab/>
      </w:r>
      <w:r w:rsidR="0041787F" w:rsidRPr="00D2132A">
        <w:rPr>
          <w:color w:val="auto"/>
        </w:rPr>
        <w:t>Appeals</w:t>
      </w:r>
      <w:bookmarkEnd w:id="82"/>
      <w:bookmarkEnd w:id="83"/>
      <w:bookmarkEnd w:id="84"/>
    </w:p>
    <w:p w14:paraId="130C7A67" w14:textId="07F4DA06" w:rsidR="00452678" w:rsidRPr="00D2132A" w:rsidRDefault="0041787F" w:rsidP="00D017D9">
      <w:pPr>
        <w:pStyle w:val="Bodycopy"/>
        <w:jc w:val="both"/>
        <w:rPr>
          <w:rFonts w:ascii="Calibri" w:hAnsi="Calibri" w:cs="Calibri"/>
          <w:color w:val="auto"/>
          <w:sz w:val="22"/>
          <w:szCs w:val="22"/>
        </w:rPr>
      </w:pPr>
      <w:r w:rsidRPr="00D2132A">
        <w:rPr>
          <w:rFonts w:ascii="Calibri" w:hAnsi="Calibri" w:cs="Calibri"/>
          <w:color w:val="auto"/>
          <w:sz w:val="22"/>
          <w:szCs w:val="22"/>
        </w:rPr>
        <w:t>A</w:t>
      </w:r>
      <w:r w:rsidR="00452678" w:rsidRPr="00D2132A">
        <w:rPr>
          <w:rFonts w:ascii="Calibri" w:hAnsi="Calibri" w:cs="Calibri"/>
          <w:color w:val="auto"/>
          <w:sz w:val="22"/>
          <w:szCs w:val="22"/>
        </w:rPr>
        <w:t xml:space="preserve">s the </w:t>
      </w:r>
      <w:r w:rsidR="00E20D62">
        <w:rPr>
          <w:rFonts w:ascii="Calibri" w:hAnsi="Calibri" w:cs="Calibri"/>
          <w:color w:val="auto"/>
          <w:sz w:val="22"/>
          <w:szCs w:val="22"/>
        </w:rPr>
        <w:t>UK SPF</w:t>
      </w:r>
      <w:r w:rsidR="00765513" w:rsidRPr="00D2132A">
        <w:rPr>
          <w:rFonts w:ascii="Calibri" w:hAnsi="Calibri" w:cs="Calibri"/>
          <w:color w:val="auto"/>
          <w:sz w:val="22"/>
          <w:szCs w:val="22"/>
        </w:rPr>
        <w:t xml:space="preserve"> Business Grant</w:t>
      </w:r>
      <w:r w:rsidR="00452678" w:rsidRPr="00D2132A">
        <w:rPr>
          <w:rFonts w:ascii="Calibri" w:hAnsi="Calibri" w:cs="Calibri"/>
          <w:color w:val="auto"/>
          <w:sz w:val="22"/>
          <w:szCs w:val="22"/>
        </w:rPr>
        <w:t xml:space="preserve"> is a competitive scheme applications which meet the scheme criteria may still be rejected if they do not provide value</w:t>
      </w:r>
      <w:r w:rsidR="00D017D9" w:rsidRPr="00D2132A">
        <w:rPr>
          <w:rFonts w:ascii="Calibri" w:hAnsi="Calibri" w:cs="Calibri"/>
          <w:color w:val="auto"/>
          <w:sz w:val="22"/>
          <w:szCs w:val="22"/>
        </w:rPr>
        <w:t xml:space="preserve"> </w:t>
      </w:r>
      <w:r w:rsidR="00452678" w:rsidRPr="00D2132A">
        <w:rPr>
          <w:rFonts w:ascii="Calibri" w:hAnsi="Calibri" w:cs="Calibri"/>
          <w:color w:val="auto"/>
          <w:sz w:val="22"/>
          <w:szCs w:val="22"/>
        </w:rPr>
        <w:t>compared to other applications being considered.</w:t>
      </w:r>
      <w:r w:rsidR="00D017D9" w:rsidRPr="00D2132A">
        <w:rPr>
          <w:rFonts w:ascii="Calibri" w:hAnsi="Calibri" w:cs="Calibri"/>
          <w:color w:val="auto"/>
          <w:sz w:val="22"/>
          <w:szCs w:val="22"/>
        </w:rPr>
        <w:t xml:space="preserve"> In addition, applications in specific sectors will be given priority (see </w:t>
      </w:r>
      <w:r w:rsidR="006E612B" w:rsidRPr="00D2132A">
        <w:rPr>
          <w:rFonts w:ascii="Calibri" w:hAnsi="Calibri" w:cs="Calibri"/>
          <w:color w:val="auto"/>
          <w:sz w:val="22"/>
          <w:szCs w:val="22"/>
        </w:rPr>
        <w:t>2.4</w:t>
      </w:r>
      <w:r w:rsidR="00D017D9" w:rsidRPr="00D2132A">
        <w:rPr>
          <w:rFonts w:ascii="Calibri" w:hAnsi="Calibri" w:cs="Calibri"/>
          <w:color w:val="auto"/>
          <w:sz w:val="22"/>
          <w:szCs w:val="22"/>
        </w:rPr>
        <w:t xml:space="preserve"> above).</w:t>
      </w:r>
    </w:p>
    <w:p w14:paraId="60C08381" w14:textId="77777777" w:rsidR="00D1645E" w:rsidRPr="00D2132A" w:rsidRDefault="00D1645E" w:rsidP="00D017D9">
      <w:pPr>
        <w:pStyle w:val="Bodycopy"/>
        <w:jc w:val="both"/>
        <w:rPr>
          <w:rFonts w:ascii="Calibri" w:hAnsi="Calibri" w:cs="Calibri"/>
          <w:color w:val="auto"/>
          <w:sz w:val="22"/>
          <w:szCs w:val="22"/>
        </w:rPr>
      </w:pPr>
    </w:p>
    <w:p w14:paraId="201FED9C" w14:textId="207084C8" w:rsidR="0041787F" w:rsidRPr="00D2132A" w:rsidRDefault="00452678" w:rsidP="00D017D9">
      <w:pPr>
        <w:pStyle w:val="Bodycopy"/>
        <w:jc w:val="both"/>
        <w:rPr>
          <w:rFonts w:ascii="Calibri" w:hAnsi="Calibri" w:cs="Calibri"/>
          <w:color w:val="auto"/>
          <w:sz w:val="22"/>
          <w:szCs w:val="22"/>
        </w:rPr>
      </w:pPr>
      <w:r w:rsidRPr="00D2132A">
        <w:rPr>
          <w:rFonts w:ascii="Calibri" w:hAnsi="Calibri" w:cs="Calibri"/>
          <w:color w:val="auto"/>
          <w:sz w:val="22"/>
          <w:szCs w:val="22"/>
        </w:rPr>
        <w:t>Ap</w:t>
      </w:r>
      <w:r w:rsidR="0041787F" w:rsidRPr="00D2132A">
        <w:rPr>
          <w:rFonts w:ascii="Calibri" w:hAnsi="Calibri" w:cs="Calibri"/>
          <w:color w:val="auto"/>
          <w:sz w:val="22"/>
          <w:szCs w:val="22"/>
        </w:rPr>
        <w:t xml:space="preserve">peals may be made in writing to the </w:t>
      </w:r>
      <w:r w:rsidR="00A029CC" w:rsidRPr="00D2132A">
        <w:rPr>
          <w:rFonts w:ascii="Calibri" w:hAnsi="Calibri" w:cs="Calibri"/>
          <w:color w:val="auto"/>
          <w:sz w:val="22"/>
          <w:szCs w:val="22"/>
        </w:rPr>
        <w:t>Managing Director</w:t>
      </w:r>
      <w:r w:rsidR="0041787F" w:rsidRPr="00D2132A">
        <w:rPr>
          <w:rFonts w:ascii="Calibri" w:hAnsi="Calibri" w:cs="Calibri"/>
          <w:color w:val="auto"/>
          <w:sz w:val="22"/>
          <w:szCs w:val="22"/>
        </w:rPr>
        <w:t xml:space="preserve">, Cumbria Chamber of Commerce, providing any relevant supplementary information. </w:t>
      </w:r>
      <w:r w:rsidRPr="00D2132A">
        <w:rPr>
          <w:rFonts w:ascii="Calibri" w:hAnsi="Calibri" w:cs="Calibri"/>
          <w:color w:val="auto"/>
          <w:sz w:val="22"/>
          <w:szCs w:val="22"/>
        </w:rPr>
        <w:t>An appeal will only be considered if there is a material change in the circumstances of the applicant’s project.</w:t>
      </w:r>
      <w:r w:rsidR="00C01E3A" w:rsidRPr="00D2132A">
        <w:rPr>
          <w:rFonts w:ascii="Calibri" w:hAnsi="Calibri" w:cs="Calibri"/>
          <w:color w:val="auto"/>
          <w:sz w:val="22"/>
          <w:szCs w:val="22"/>
        </w:rPr>
        <w:t xml:space="preserve"> </w:t>
      </w:r>
      <w:r w:rsidR="0041787F" w:rsidRPr="00D2132A">
        <w:rPr>
          <w:rFonts w:ascii="Calibri" w:hAnsi="Calibri" w:cs="Calibri"/>
          <w:color w:val="auto"/>
          <w:sz w:val="22"/>
          <w:szCs w:val="22"/>
        </w:rPr>
        <w:t xml:space="preserve">Where an appeal is made the decision will be reviewed </w:t>
      </w:r>
      <w:r w:rsidR="00D017D9" w:rsidRPr="00D2132A">
        <w:rPr>
          <w:rFonts w:ascii="Calibri" w:hAnsi="Calibri" w:cs="Calibri"/>
          <w:color w:val="auto"/>
          <w:sz w:val="22"/>
          <w:szCs w:val="22"/>
        </w:rPr>
        <w:t xml:space="preserve">by </w:t>
      </w:r>
      <w:r w:rsidR="0041787F" w:rsidRPr="00D2132A">
        <w:rPr>
          <w:rFonts w:ascii="Calibri" w:hAnsi="Calibri" w:cs="Calibri"/>
          <w:color w:val="auto"/>
          <w:sz w:val="22"/>
          <w:szCs w:val="22"/>
        </w:rPr>
        <w:t xml:space="preserve">the </w:t>
      </w:r>
      <w:r w:rsidR="00D1645E" w:rsidRPr="00D2132A">
        <w:rPr>
          <w:rFonts w:ascii="Calibri" w:hAnsi="Calibri" w:cs="Calibri"/>
          <w:color w:val="auto"/>
          <w:sz w:val="22"/>
          <w:szCs w:val="22"/>
        </w:rPr>
        <w:t xml:space="preserve">Grant </w:t>
      </w:r>
      <w:r w:rsidR="0041787F" w:rsidRPr="00D2132A">
        <w:rPr>
          <w:rFonts w:ascii="Calibri" w:hAnsi="Calibri" w:cs="Calibri"/>
          <w:color w:val="auto"/>
          <w:sz w:val="22"/>
          <w:szCs w:val="22"/>
        </w:rPr>
        <w:t xml:space="preserve">Panel </w:t>
      </w:r>
      <w:r w:rsidR="00D017D9" w:rsidRPr="00D2132A">
        <w:rPr>
          <w:rFonts w:ascii="Calibri" w:hAnsi="Calibri" w:cs="Calibri"/>
          <w:color w:val="auto"/>
          <w:sz w:val="22"/>
          <w:szCs w:val="22"/>
        </w:rPr>
        <w:t>members. The</w:t>
      </w:r>
      <w:r w:rsidR="0041787F" w:rsidRPr="00D2132A">
        <w:rPr>
          <w:rFonts w:ascii="Calibri" w:hAnsi="Calibri" w:cs="Calibri"/>
          <w:color w:val="auto"/>
          <w:sz w:val="22"/>
          <w:szCs w:val="22"/>
        </w:rPr>
        <w:t xml:space="preserve"> decision will be advised to the applicant in writing.</w:t>
      </w:r>
      <w:r w:rsidR="00D017D9" w:rsidRPr="00D2132A">
        <w:rPr>
          <w:rFonts w:ascii="Calibri" w:hAnsi="Calibri" w:cs="Calibri"/>
          <w:color w:val="auto"/>
          <w:sz w:val="22"/>
          <w:szCs w:val="22"/>
        </w:rPr>
        <w:t xml:space="preserve"> </w:t>
      </w:r>
      <w:r w:rsidR="0041787F" w:rsidRPr="00D2132A">
        <w:rPr>
          <w:rFonts w:ascii="Calibri" w:hAnsi="Calibri" w:cs="Calibri"/>
          <w:color w:val="auto"/>
          <w:sz w:val="22"/>
          <w:szCs w:val="22"/>
        </w:rPr>
        <w:t>There is no further right of appeal.</w:t>
      </w:r>
    </w:p>
    <w:p w14:paraId="03EB4FC5" w14:textId="359123FE" w:rsidR="000011CF" w:rsidRPr="00D2132A" w:rsidRDefault="00A2250E" w:rsidP="00B439E3">
      <w:pPr>
        <w:pStyle w:val="TOC-Sub"/>
        <w:outlineLvl w:val="1"/>
        <w:rPr>
          <w:color w:val="auto"/>
        </w:rPr>
      </w:pPr>
      <w:bookmarkStart w:id="85" w:name="_Toc9585332"/>
      <w:bookmarkStart w:id="86" w:name="_Toc152159676"/>
      <w:bookmarkStart w:id="87" w:name="_Toc157694454"/>
      <w:r w:rsidRPr="00D2132A">
        <w:rPr>
          <w:color w:val="auto"/>
        </w:rPr>
        <w:t>6</w:t>
      </w:r>
      <w:r w:rsidR="00563A9E" w:rsidRPr="00D2132A">
        <w:rPr>
          <w:color w:val="auto"/>
        </w:rPr>
        <w:t>.</w:t>
      </w:r>
      <w:r w:rsidR="006E612B" w:rsidRPr="00D2132A">
        <w:rPr>
          <w:color w:val="auto"/>
        </w:rPr>
        <w:t>4</w:t>
      </w:r>
      <w:r w:rsidR="00563A9E" w:rsidRPr="00D2132A">
        <w:rPr>
          <w:color w:val="auto"/>
        </w:rPr>
        <w:tab/>
      </w:r>
      <w:r w:rsidR="000011CF" w:rsidRPr="00D2132A">
        <w:rPr>
          <w:color w:val="auto"/>
        </w:rPr>
        <w:t xml:space="preserve">Record </w:t>
      </w:r>
      <w:r w:rsidR="00563A9E" w:rsidRPr="00D2132A">
        <w:rPr>
          <w:color w:val="auto"/>
        </w:rPr>
        <w:t>K</w:t>
      </w:r>
      <w:r w:rsidR="000011CF" w:rsidRPr="00D2132A">
        <w:rPr>
          <w:color w:val="auto"/>
        </w:rPr>
        <w:t>eeping</w:t>
      </w:r>
      <w:bookmarkEnd w:id="85"/>
      <w:bookmarkEnd w:id="86"/>
      <w:bookmarkEnd w:id="87"/>
    </w:p>
    <w:p w14:paraId="755FE0BA" w14:textId="70FE35B0" w:rsidR="000011CF" w:rsidRPr="00D2132A" w:rsidRDefault="006C3313" w:rsidP="00563A9E">
      <w:pPr>
        <w:pStyle w:val="Bodycopy"/>
        <w:jc w:val="both"/>
        <w:rPr>
          <w:rFonts w:ascii="Calibri" w:hAnsi="Calibri" w:cs="Calibri"/>
          <w:color w:val="auto"/>
          <w:sz w:val="22"/>
          <w:szCs w:val="22"/>
          <w:lang w:val="en-US"/>
        </w:rPr>
      </w:pPr>
      <w:r w:rsidRPr="00D2132A">
        <w:rPr>
          <w:rFonts w:ascii="Calibri" w:hAnsi="Calibri" w:cs="Calibri"/>
          <w:color w:val="auto"/>
          <w:sz w:val="22"/>
          <w:szCs w:val="22"/>
          <w:lang w:val="en-US"/>
        </w:rPr>
        <w:t>R</w:t>
      </w:r>
      <w:r w:rsidR="000011CF" w:rsidRPr="00D2132A">
        <w:rPr>
          <w:rFonts w:ascii="Calibri" w:hAnsi="Calibri" w:cs="Calibri"/>
          <w:color w:val="auto"/>
          <w:sz w:val="22"/>
          <w:szCs w:val="22"/>
          <w:lang w:val="en-US"/>
        </w:rPr>
        <w:t xml:space="preserve">easons </w:t>
      </w:r>
      <w:r w:rsidR="00242D99" w:rsidRPr="00D2132A">
        <w:rPr>
          <w:rFonts w:ascii="Calibri" w:hAnsi="Calibri" w:cs="Calibri"/>
          <w:color w:val="auto"/>
          <w:sz w:val="22"/>
          <w:szCs w:val="22"/>
          <w:lang w:val="en-US"/>
        </w:rPr>
        <w:t>f</w:t>
      </w:r>
      <w:r w:rsidR="000011CF" w:rsidRPr="00D2132A">
        <w:rPr>
          <w:rFonts w:ascii="Calibri" w:hAnsi="Calibri" w:cs="Calibri"/>
          <w:color w:val="auto"/>
          <w:sz w:val="22"/>
          <w:szCs w:val="22"/>
          <w:lang w:val="en-US"/>
        </w:rPr>
        <w:t xml:space="preserve">or decisions about applications and claims </w:t>
      </w:r>
      <w:r w:rsidR="00642703" w:rsidRPr="00D2132A">
        <w:rPr>
          <w:rFonts w:ascii="Calibri" w:hAnsi="Calibri" w:cs="Calibri"/>
          <w:color w:val="auto"/>
          <w:sz w:val="22"/>
          <w:szCs w:val="22"/>
          <w:lang w:val="en-US"/>
        </w:rPr>
        <w:t>will</w:t>
      </w:r>
      <w:r w:rsidR="000011CF" w:rsidRPr="00D2132A">
        <w:rPr>
          <w:rFonts w:ascii="Calibri" w:hAnsi="Calibri" w:cs="Calibri"/>
          <w:color w:val="auto"/>
          <w:sz w:val="22"/>
          <w:szCs w:val="22"/>
          <w:lang w:val="en-US"/>
        </w:rPr>
        <w:t xml:space="preserve"> be recorded at all stages</w:t>
      </w:r>
      <w:r w:rsidR="00563A9E" w:rsidRPr="00D2132A">
        <w:rPr>
          <w:rFonts w:ascii="Calibri" w:hAnsi="Calibri" w:cs="Calibri"/>
          <w:color w:val="auto"/>
          <w:sz w:val="22"/>
          <w:szCs w:val="22"/>
          <w:lang w:val="en-US"/>
        </w:rPr>
        <w:t>, e</w:t>
      </w:r>
      <w:r w:rsidR="00D47652" w:rsidRPr="00D2132A">
        <w:rPr>
          <w:rFonts w:ascii="Calibri" w:hAnsi="Calibri" w:cs="Calibri"/>
          <w:color w:val="auto"/>
          <w:sz w:val="22"/>
          <w:szCs w:val="22"/>
          <w:lang w:val="en-US"/>
        </w:rPr>
        <w:t>nsuring</w:t>
      </w:r>
      <w:r w:rsidR="000011CF" w:rsidRPr="00D2132A">
        <w:rPr>
          <w:rFonts w:ascii="Calibri" w:hAnsi="Calibri" w:cs="Calibri"/>
          <w:color w:val="auto"/>
          <w:sz w:val="22"/>
          <w:szCs w:val="22"/>
          <w:lang w:val="en-US"/>
        </w:rPr>
        <w:t xml:space="preserve"> a clear audit trail for all applications. Administrative records</w:t>
      </w:r>
      <w:r w:rsidR="00242D99" w:rsidRPr="00D2132A">
        <w:rPr>
          <w:rFonts w:ascii="Calibri" w:hAnsi="Calibri" w:cs="Calibri"/>
          <w:color w:val="auto"/>
          <w:sz w:val="22"/>
          <w:szCs w:val="22"/>
          <w:lang w:val="en-US"/>
        </w:rPr>
        <w:t xml:space="preserve"> </w:t>
      </w:r>
      <w:r w:rsidR="00642703" w:rsidRPr="00D2132A">
        <w:rPr>
          <w:rFonts w:ascii="Calibri" w:hAnsi="Calibri" w:cs="Calibri"/>
          <w:color w:val="auto"/>
          <w:sz w:val="22"/>
          <w:szCs w:val="22"/>
          <w:lang w:val="en-US"/>
        </w:rPr>
        <w:t xml:space="preserve">will </w:t>
      </w:r>
      <w:r w:rsidR="000011CF" w:rsidRPr="00D2132A">
        <w:rPr>
          <w:rFonts w:ascii="Calibri" w:hAnsi="Calibri" w:cs="Calibri"/>
          <w:color w:val="auto"/>
          <w:sz w:val="22"/>
          <w:szCs w:val="22"/>
          <w:lang w:val="en-US"/>
        </w:rPr>
        <w:t>be maintained for all applications irrespective of whether they</w:t>
      </w:r>
      <w:r w:rsidR="00242D99" w:rsidRPr="00D2132A">
        <w:rPr>
          <w:rFonts w:ascii="Calibri" w:hAnsi="Calibri" w:cs="Calibri"/>
          <w:color w:val="auto"/>
          <w:sz w:val="22"/>
          <w:szCs w:val="22"/>
          <w:lang w:val="en-US"/>
        </w:rPr>
        <w:t xml:space="preserve"> </w:t>
      </w:r>
      <w:r w:rsidR="000011CF" w:rsidRPr="00D2132A">
        <w:rPr>
          <w:rFonts w:ascii="Calibri" w:hAnsi="Calibri" w:cs="Calibri"/>
          <w:color w:val="auto"/>
          <w:sz w:val="22"/>
          <w:szCs w:val="22"/>
          <w:lang w:val="en-US"/>
        </w:rPr>
        <w:t>were successful.</w:t>
      </w:r>
    </w:p>
    <w:p w14:paraId="7A3D2731" w14:textId="5D17D2B7" w:rsidR="000011CF" w:rsidRPr="00D2132A" w:rsidRDefault="00A2250E" w:rsidP="00B439E3">
      <w:pPr>
        <w:pStyle w:val="TOC-Sub"/>
        <w:outlineLvl w:val="1"/>
        <w:rPr>
          <w:color w:val="auto"/>
          <w:lang w:val="en-US"/>
        </w:rPr>
      </w:pPr>
      <w:bookmarkStart w:id="88" w:name="_Toc9585333"/>
      <w:bookmarkStart w:id="89" w:name="_Toc152159677"/>
      <w:bookmarkStart w:id="90" w:name="_Toc157694455"/>
      <w:r w:rsidRPr="00D2132A">
        <w:rPr>
          <w:color w:val="auto"/>
          <w:lang w:val="en-US"/>
        </w:rPr>
        <w:t>6</w:t>
      </w:r>
      <w:r w:rsidR="00563A9E" w:rsidRPr="00D2132A">
        <w:rPr>
          <w:color w:val="auto"/>
          <w:lang w:val="en-US"/>
        </w:rPr>
        <w:t>.</w:t>
      </w:r>
      <w:r w:rsidR="006E612B" w:rsidRPr="00D2132A">
        <w:rPr>
          <w:color w:val="auto"/>
          <w:lang w:val="en-US"/>
        </w:rPr>
        <w:t>5</w:t>
      </w:r>
      <w:r w:rsidR="00563A9E" w:rsidRPr="00D2132A">
        <w:rPr>
          <w:color w:val="auto"/>
          <w:lang w:val="en-US"/>
        </w:rPr>
        <w:tab/>
      </w:r>
      <w:r w:rsidR="000011CF" w:rsidRPr="00D2132A">
        <w:rPr>
          <w:color w:val="auto"/>
          <w:lang w:val="en-US"/>
        </w:rPr>
        <w:t>Publicity</w:t>
      </w:r>
      <w:bookmarkEnd w:id="88"/>
      <w:bookmarkEnd w:id="89"/>
      <w:bookmarkEnd w:id="90"/>
    </w:p>
    <w:p w14:paraId="1FE6B1B9" w14:textId="1CA4CD3A" w:rsidR="006A077D" w:rsidRPr="00D2132A" w:rsidRDefault="003C49B8" w:rsidP="00C01E3A">
      <w:pPr>
        <w:pStyle w:val="Bodycopy"/>
        <w:jc w:val="both"/>
        <w:rPr>
          <w:rFonts w:ascii="Calibri" w:hAnsi="Calibri" w:cs="Calibri"/>
          <w:color w:val="auto"/>
          <w:sz w:val="22"/>
          <w:szCs w:val="22"/>
          <w:lang w:val="en-US"/>
        </w:rPr>
      </w:pPr>
      <w:r w:rsidRPr="00D2132A">
        <w:rPr>
          <w:rFonts w:ascii="Calibri" w:hAnsi="Calibri" w:cs="Calibri"/>
          <w:color w:val="auto"/>
          <w:sz w:val="22"/>
          <w:szCs w:val="22"/>
        </w:rPr>
        <w:t xml:space="preserve">Brief details of all offers made under </w:t>
      </w:r>
      <w:r w:rsidR="006C3313" w:rsidRPr="00D2132A">
        <w:rPr>
          <w:rFonts w:ascii="Calibri" w:hAnsi="Calibri" w:cs="Calibri"/>
          <w:color w:val="auto"/>
          <w:sz w:val="22"/>
          <w:szCs w:val="22"/>
        </w:rPr>
        <w:t xml:space="preserve">the </w:t>
      </w:r>
      <w:r w:rsidR="00E20D62">
        <w:rPr>
          <w:rFonts w:ascii="Calibri" w:hAnsi="Calibri" w:cs="Calibri"/>
          <w:color w:val="auto"/>
          <w:sz w:val="22"/>
          <w:szCs w:val="22"/>
        </w:rPr>
        <w:t>UK SPF</w:t>
      </w:r>
      <w:r w:rsidR="00765513" w:rsidRPr="00D2132A">
        <w:rPr>
          <w:rFonts w:ascii="Calibri" w:hAnsi="Calibri" w:cs="Calibri"/>
          <w:color w:val="auto"/>
          <w:sz w:val="22"/>
          <w:szCs w:val="22"/>
        </w:rPr>
        <w:t xml:space="preserve"> Business Grant</w:t>
      </w:r>
      <w:r w:rsidR="00612905" w:rsidRPr="00D2132A">
        <w:rPr>
          <w:rFonts w:ascii="Calibri" w:hAnsi="Calibri" w:cs="Calibri"/>
          <w:color w:val="auto"/>
          <w:sz w:val="22"/>
          <w:szCs w:val="22"/>
        </w:rPr>
        <w:t xml:space="preserve"> </w:t>
      </w:r>
      <w:r w:rsidRPr="00D2132A">
        <w:rPr>
          <w:rFonts w:ascii="Calibri" w:hAnsi="Calibri" w:cs="Calibri"/>
          <w:color w:val="auto"/>
          <w:sz w:val="22"/>
          <w:szCs w:val="22"/>
        </w:rPr>
        <w:t xml:space="preserve">will be published </w:t>
      </w:r>
      <w:r w:rsidR="00E32296" w:rsidRPr="00D2132A">
        <w:rPr>
          <w:rFonts w:ascii="Calibri" w:hAnsi="Calibri" w:cs="Calibri"/>
          <w:color w:val="auto"/>
          <w:sz w:val="22"/>
          <w:szCs w:val="22"/>
        </w:rPr>
        <w:t xml:space="preserve">on the </w:t>
      </w:r>
      <w:r w:rsidR="006C3313" w:rsidRPr="00D2132A">
        <w:rPr>
          <w:rFonts w:ascii="Calibri" w:hAnsi="Calibri" w:cs="Calibri"/>
          <w:color w:val="auto"/>
          <w:sz w:val="22"/>
          <w:szCs w:val="22"/>
        </w:rPr>
        <w:t>Cumbria Growth Hub web portal</w:t>
      </w:r>
      <w:r w:rsidR="00E32296" w:rsidRPr="00D2132A">
        <w:rPr>
          <w:rFonts w:ascii="Calibri" w:hAnsi="Calibri" w:cs="Calibri"/>
          <w:color w:val="auto"/>
          <w:sz w:val="22"/>
          <w:szCs w:val="22"/>
        </w:rPr>
        <w:t xml:space="preserve"> </w:t>
      </w:r>
      <w:r w:rsidRPr="00D2132A">
        <w:rPr>
          <w:rFonts w:ascii="Calibri" w:hAnsi="Calibri" w:cs="Calibri"/>
          <w:color w:val="auto"/>
          <w:sz w:val="22"/>
          <w:szCs w:val="22"/>
        </w:rPr>
        <w:t xml:space="preserve">once the offer </w:t>
      </w:r>
      <w:r w:rsidR="006A077D" w:rsidRPr="00D2132A">
        <w:rPr>
          <w:rFonts w:ascii="Calibri" w:hAnsi="Calibri" w:cs="Calibri"/>
          <w:color w:val="auto"/>
          <w:sz w:val="22"/>
          <w:szCs w:val="22"/>
        </w:rPr>
        <w:t>has been accepted</w:t>
      </w:r>
      <w:r w:rsidRPr="00D2132A">
        <w:rPr>
          <w:rFonts w:ascii="Calibri" w:hAnsi="Calibri" w:cs="Calibri"/>
          <w:color w:val="auto"/>
          <w:sz w:val="22"/>
          <w:szCs w:val="22"/>
        </w:rPr>
        <w:t>.</w:t>
      </w:r>
      <w:r w:rsidR="00792B34" w:rsidRPr="00D2132A">
        <w:rPr>
          <w:rFonts w:ascii="Calibri" w:hAnsi="Calibri" w:cs="Calibri"/>
          <w:color w:val="auto"/>
          <w:sz w:val="22"/>
          <w:szCs w:val="22"/>
        </w:rPr>
        <w:t xml:space="preserve"> </w:t>
      </w:r>
      <w:r w:rsidR="006A077D" w:rsidRPr="00D2132A">
        <w:rPr>
          <w:rFonts w:ascii="Calibri" w:hAnsi="Calibri" w:cs="Calibri"/>
          <w:color w:val="auto"/>
          <w:sz w:val="22"/>
          <w:szCs w:val="22"/>
          <w:lang w:val="en-US"/>
        </w:rPr>
        <w:t>More detailed case studies of projects will be used on an ongoing basis to promote the scheme and its success through a range of media</w:t>
      </w:r>
      <w:r w:rsidR="006C3313" w:rsidRPr="00D2132A">
        <w:rPr>
          <w:rFonts w:ascii="Calibri" w:hAnsi="Calibri" w:cs="Calibri"/>
          <w:color w:val="auto"/>
          <w:sz w:val="22"/>
          <w:szCs w:val="22"/>
          <w:lang w:val="en-US"/>
        </w:rPr>
        <w:t>.</w:t>
      </w:r>
      <w:r w:rsidR="006E612B" w:rsidRPr="00D2132A">
        <w:rPr>
          <w:rFonts w:ascii="Calibri" w:hAnsi="Calibri" w:cs="Calibri"/>
          <w:color w:val="auto"/>
          <w:sz w:val="22"/>
          <w:szCs w:val="22"/>
          <w:lang w:val="en-US"/>
        </w:rPr>
        <w:t xml:space="preserve"> Successful applicants must agree to </w:t>
      </w:r>
      <w:r w:rsidR="002339A8" w:rsidRPr="00D2132A">
        <w:rPr>
          <w:rFonts w:ascii="Calibri" w:hAnsi="Calibri" w:cs="Calibri"/>
          <w:color w:val="auto"/>
          <w:sz w:val="22"/>
          <w:szCs w:val="22"/>
          <w:lang w:val="en-US"/>
        </w:rPr>
        <w:t xml:space="preserve">all reasonable requests to </w:t>
      </w:r>
      <w:r w:rsidR="006E612B" w:rsidRPr="00D2132A">
        <w:rPr>
          <w:rFonts w:ascii="Calibri" w:hAnsi="Calibri" w:cs="Calibri"/>
          <w:color w:val="auto"/>
          <w:sz w:val="22"/>
          <w:szCs w:val="22"/>
          <w:lang w:val="en-US"/>
        </w:rPr>
        <w:t xml:space="preserve">participate in </w:t>
      </w:r>
      <w:r w:rsidR="002339A8" w:rsidRPr="00D2132A">
        <w:rPr>
          <w:rFonts w:ascii="Calibri" w:hAnsi="Calibri" w:cs="Calibri"/>
          <w:color w:val="auto"/>
          <w:sz w:val="22"/>
          <w:szCs w:val="22"/>
          <w:lang w:val="en-US"/>
        </w:rPr>
        <w:t xml:space="preserve">and cooperate with promotional activities relating to the project that may be instigated by </w:t>
      </w:r>
      <w:r w:rsidR="002711D2">
        <w:rPr>
          <w:rFonts w:ascii="Calibri" w:hAnsi="Calibri" w:cs="Calibri"/>
          <w:color w:val="auto"/>
          <w:sz w:val="22"/>
          <w:szCs w:val="22"/>
          <w:lang w:val="en-US"/>
        </w:rPr>
        <w:t>UK SPF</w:t>
      </w:r>
      <w:r w:rsidR="002339A8" w:rsidRPr="00D2132A">
        <w:rPr>
          <w:rFonts w:ascii="Calibri" w:hAnsi="Calibri" w:cs="Calibri"/>
          <w:color w:val="auto"/>
          <w:sz w:val="22"/>
          <w:szCs w:val="22"/>
          <w:lang w:val="en-US"/>
        </w:rPr>
        <w:t>, Westmorland &amp; Furness Council or the Chamber.</w:t>
      </w:r>
      <w:r w:rsidR="00B15FE7" w:rsidRPr="00D2132A">
        <w:rPr>
          <w:rFonts w:ascii="Calibri" w:hAnsi="Calibri" w:cs="Calibri"/>
          <w:color w:val="auto"/>
          <w:sz w:val="22"/>
          <w:szCs w:val="22"/>
          <w:lang w:val="en-US"/>
        </w:rPr>
        <w:t xml:space="preserve"> This includes complying with all reasonable requests to facilitate visits</w:t>
      </w:r>
      <w:r w:rsidR="00A531AB" w:rsidRPr="00D2132A">
        <w:rPr>
          <w:rFonts w:ascii="Calibri" w:hAnsi="Calibri" w:cs="Calibri"/>
          <w:color w:val="auto"/>
          <w:sz w:val="22"/>
          <w:szCs w:val="22"/>
          <w:lang w:val="en-US"/>
        </w:rPr>
        <w:t xml:space="preserve"> and</w:t>
      </w:r>
      <w:r w:rsidR="00B15FE7" w:rsidRPr="00D2132A">
        <w:rPr>
          <w:rFonts w:ascii="Calibri" w:hAnsi="Calibri" w:cs="Calibri"/>
          <w:color w:val="auto"/>
          <w:sz w:val="22"/>
          <w:szCs w:val="22"/>
          <w:lang w:val="en-US"/>
        </w:rPr>
        <w:t xml:space="preserve"> </w:t>
      </w:r>
      <w:r w:rsidR="00A531AB" w:rsidRPr="00D2132A">
        <w:rPr>
          <w:rFonts w:ascii="Calibri" w:hAnsi="Calibri" w:cs="Calibri"/>
          <w:color w:val="auto"/>
          <w:sz w:val="22"/>
          <w:szCs w:val="22"/>
          <w:lang w:val="en-US"/>
        </w:rPr>
        <w:t xml:space="preserve">provide reports, statistics, photographs and case studies to assist in promotional activities. </w:t>
      </w:r>
    </w:p>
    <w:p w14:paraId="6C191310" w14:textId="77777777" w:rsidR="006E612B" w:rsidRPr="00D2132A" w:rsidRDefault="006E612B" w:rsidP="00C01E3A">
      <w:pPr>
        <w:pStyle w:val="Bodycopy"/>
        <w:jc w:val="both"/>
        <w:rPr>
          <w:rFonts w:ascii="Calibri" w:hAnsi="Calibri" w:cs="Calibri"/>
          <w:color w:val="auto"/>
          <w:sz w:val="22"/>
          <w:szCs w:val="22"/>
          <w:lang w:val="en-US"/>
        </w:rPr>
      </w:pPr>
    </w:p>
    <w:p w14:paraId="47DF6B71" w14:textId="00C719BE" w:rsidR="006E612B" w:rsidRPr="00D2132A" w:rsidRDefault="006E612B" w:rsidP="00C01E3A">
      <w:pPr>
        <w:pStyle w:val="Bodycopy"/>
        <w:jc w:val="both"/>
        <w:rPr>
          <w:rFonts w:ascii="Calibri" w:hAnsi="Calibri" w:cs="Calibri"/>
          <w:color w:val="auto"/>
          <w:sz w:val="22"/>
          <w:szCs w:val="22"/>
          <w:lang w:val="en-US"/>
        </w:rPr>
      </w:pPr>
      <w:r w:rsidRPr="00D2132A">
        <w:rPr>
          <w:rFonts w:ascii="Calibri" w:hAnsi="Calibri" w:cs="Calibri"/>
          <w:color w:val="auto"/>
          <w:sz w:val="22"/>
          <w:szCs w:val="22"/>
          <w:lang w:val="en-US"/>
        </w:rPr>
        <w:t>Any grant awarded may be subject to a Freedom of Information request.</w:t>
      </w:r>
    </w:p>
    <w:p w14:paraId="128F92D1" w14:textId="77777777" w:rsidR="005736AF" w:rsidRPr="00D2132A" w:rsidRDefault="005736AF" w:rsidP="00C01E3A">
      <w:pPr>
        <w:pStyle w:val="Bodycopy"/>
        <w:jc w:val="both"/>
        <w:rPr>
          <w:rFonts w:ascii="Calibri" w:hAnsi="Calibri" w:cs="Calibri"/>
          <w:color w:val="auto"/>
          <w:sz w:val="22"/>
          <w:szCs w:val="22"/>
          <w:lang w:val="en-US"/>
        </w:rPr>
      </w:pPr>
    </w:p>
    <w:p w14:paraId="12471D60" w14:textId="2E158B6B" w:rsidR="005736AF" w:rsidRPr="00D2132A" w:rsidRDefault="005736AF" w:rsidP="00C01E3A">
      <w:pPr>
        <w:pStyle w:val="Bodycopy"/>
        <w:jc w:val="both"/>
        <w:rPr>
          <w:rFonts w:ascii="Calibri" w:hAnsi="Calibri" w:cs="Calibri"/>
          <w:color w:val="auto"/>
          <w:sz w:val="22"/>
          <w:szCs w:val="22"/>
          <w:lang w:val="en-US"/>
        </w:rPr>
      </w:pPr>
      <w:r w:rsidRPr="00D2132A">
        <w:rPr>
          <w:rFonts w:ascii="Calibri" w:hAnsi="Calibri" w:cs="Calibri"/>
          <w:color w:val="auto"/>
          <w:sz w:val="22"/>
          <w:szCs w:val="22"/>
          <w:lang w:val="en-US"/>
        </w:rPr>
        <w:t xml:space="preserve">The recipient must acknowledge the support of </w:t>
      </w:r>
      <w:r w:rsidR="00921011" w:rsidRPr="00D2132A">
        <w:rPr>
          <w:rFonts w:ascii="Calibri" w:hAnsi="Calibri" w:cs="Calibri"/>
          <w:color w:val="auto"/>
          <w:sz w:val="22"/>
          <w:szCs w:val="22"/>
          <w:lang w:val="en-US"/>
        </w:rPr>
        <w:t xml:space="preserve">the </w:t>
      </w:r>
      <w:r w:rsidR="002711D2">
        <w:rPr>
          <w:rFonts w:ascii="Calibri" w:hAnsi="Calibri" w:cs="Calibri"/>
          <w:color w:val="auto"/>
          <w:sz w:val="22"/>
          <w:szCs w:val="22"/>
          <w:lang w:val="en-US"/>
        </w:rPr>
        <w:t>UK SPF</w:t>
      </w:r>
      <w:r w:rsidR="00921011" w:rsidRPr="00D2132A">
        <w:rPr>
          <w:rFonts w:ascii="Calibri" w:hAnsi="Calibri" w:cs="Calibri"/>
          <w:color w:val="auto"/>
          <w:sz w:val="22"/>
          <w:szCs w:val="22"/>
          <w:lang w:val="en-US"/>
        </w:rPr>
        <w:t>, Westmorland &amp; Furness Council and the Chamber in any materials that refer to, or result directly from, the project and in any written or spoken public presentations about the project. Such acknowledgements shall include the use of any banners or logos required</w:t>
      </w:r>
      <w:r w:rsidR="001716FD" w:rsidRPr="00D2132A">
        <w:rPr>
          <w:rFonts w:ascii="Calibri" w:hAnsi="Calibri" w:cs="Calibri"/>
          <w:color w:val="auto"/>
          <w:sz w:val="22"/>
          <w:szCs w:val="22"/>
          <w:lang w:val="en-US"/>
        </w:rPr>
        <w:t xml:space="preserve"> by </w:t>
      </w:r>
      <w:r w:rsidR="008147DF" w:rsidRPr="00D2132A">
        <w:rPr>
          <w:rFonts w:ascii="Calibri" w:hAnsi="Calibri" w:cs="Calibri"/>
          <w:color w:val="auto"/>
          <w:sz w:val="22"/>
          <w:szCs w:val="22"/>
          <w:lang w:val="en-US"/>
        </w:rPr>
        <w:t xml:space="preserve">the </w:t>
      </w:r>
      <w:r w:rsidR="002711D2">
        <w:rPr>
          <w:rFonts w:ascii="Calibri" w:hAnsi="Calibri" w:cs="Calibri"/>
          <w:color w:val="auto"/>
          <w:sz w:val="22"/>
          <w:szCs w:val="22"/>
          <w:lang w:val="en-US"/>
        </w:rPr>
        <w:t>UK SPF</w:t>
      </w:r>
      <w:r w:rsidR="008147DF" w:rsidRPr="00D2132A">
        <w:rPr>
          <w:rFonts w:ascii="Calibri" w:hAnsi="Calibri" w:cs="Calibri"/>
          <w:color w:val="auto"/>
          <w:sz w:val="22"/>
          <w:szCs w:val="22"/>
          <w:lang w:val="en-US"/>
        </w:rPr>
        <w:t xml:space="preserve"> or Westmorland &amp; Furness Council.</w:t>
      </w:r>
      <w:r w:rsidR="008A6CBE" w:rsidRPr="00D2132A">
        <w:rPr>
          <w:rFonts w:ascii="Calibri" w:hAnsi="Calibri" w:cs="Calibri"/>
          <w:color w:val="auto"/>
          <w:sz w:val="22"/>
          <w:szCs w:val="22"/>
          <w:lang w:val="en-US"/>
        </w:rPr>
        <w:t xml:space="preserve"> Details will be provided in the grant offer letter.</w:t>
      </w:r>
    </w:p>
    <w:p w14:paraId="703CD268" w14:textId="5204271F" w:rsidR="000011CF" w:rsidRPr="00D2132A" w:rsidRDefault="00A2250E" w:rsidP="00B439E3">
      <w:pPr>
        <w:pStyle w:val="TOC-Sub"/>
        <w:outlineLvl w:val="1"/>
        <w:rPr>
          <w:color w:val="auto"/>
        </w:rPr>
      </w:pPr>
      <w:bookmarkStart w:id="91" w:name="_Toc9585334"/>
      <w:bookmarkStart w:id="92" w:name="_Toc152159678"/>
      <w:bookmarkStart w:id="93" w:name="_Toc157694456"/>
      <w:r w:rsidRPr="00D2132A">
        <w:rPr>
          <w:color w:val="auto"/>
        </w:rPr>
        <w:t>6</w:t>
      </w:r>
      <w:r w:rsidR="00563A9E" w:rsidRPr="00D2132A">
        <w:rPr>
          <w:color w:val="auto"/>
        </w:rPr>
        <w:t>.</w:t>
      </w:r>
      <w:r w:rsidR="006E612B" w:rsidRPr="00D2132A">
        <w:rPr>
          <w:color w:val="auto"/>
        </w:rPr>
        <w:t>6</w:t>
      </w:r>
      <w:r w:rsidR="00563A9E" w:rsidRPr="00D2132A">
        <w:rPr>
          <w:color w:val="auto"/>
        </w:rPr>
        <w:tab/>
      </w:r>
      <w:r w:rsidR="000011CF" w:rsidRPr="00D2132A">
        <w:rPr>
          <w:color w:val="auto"/>
        </w:rPr>
        <w:t xml:space="preserve">Third </w:t>
      </w:r>
      <w:r w:rsidR="006E612B" w:rsidRPr="00D2132A">
        <w:rPr>
          <w:color w:val="auto"/>
        </w:rPr>
        <w:t>P</w:t>
      </w:r>
      <w:r w:rsidR="000011CF" w:rsidRPr="00D2132A">
        <w:rPr>
          <w:color w:val="auto"/>
        </w:rPr>
        <w:t xml:space="preserve">arty </w:t>
      </w:r>
      <w:r w:rsidR="006E612B" w:rsidRPr="00D2132A">
        <w:rPr>
          <w:color w:val="auto"/>
        </w:rPr>
        <w:t>A</w:t>
      </w:r>
      <w:r w:rsidR="000011CF" w:rsidRPr="00D2132A">
        <w:rPr>
          <w:color w:val="auto"/>
        </w:rPr>
        <w:t xml:space="preserve">dvice to </w:t>
      </w:r>
      <w:r w:rsidR="006E612B" w:rsidRPr="00D2132A">
        <w:rPr>
          <w:color w:val="auto"/>
        </w:rPr>
        <w:t>A</w:t>
      </w:r>
      <w:r w:rsidR="000011CF" w:rsidRPr="00D2132A">
        <w:rPr>
          <w:color w:val="auto"/>
        </w:rPr>
        <w:t>pplicants</w:t>
      </w:r>
      <w:bookmarkEnd w:id="91"/>
      <w:bookmarkEnd w:id="92"/>
      <w:bookmarkEnd w:id="93"/>
    </w:p>
    <w:p w14:paraId="6860D591" w14:textId="081482C4" w:rsidR="0049039F" w:rsidRPr="00D2132A" w:rsidRDefault="001A7B0F" w:rsidP="0049039F">
      <w:pPr>
        <w:pStyle w:val="Bodycopy"/>
        <w:jc w:val="both"/>
        <w:rPr>
          <w:rFonts w:ascii="Calibri" w:hAnsi="Calibri" w:cs="Calibri"/>
          <w:color w:val="auto"/>
          <w:sz w:val="22"/>
          <w:szCs w:val="22"/>
          <w:lang w:val="en-US"/>
        </w:rPr>
      </w:pPr>
      <w:r w:rsidRPr="00D2132A">
        <w:rPr>
          <w:rFonts w:ascii="Calibri" w:hAnsi="Calibri" w:cs="Calibri"/>
          <w:color w:val="auto"/>
          <w:sz w:val="22"/>
          <w:szCs w:val="22"/>
          <w:lang w:val="en-US"/>
        </w:rPr>
        <w:t>T</w:t>
      </w:r>
      <w:r w:rsidR="000011CF" w:rsidRPr="00D2132A">
        <w:rPr>
          <w:rFonts w:ascii="Calibri" w:hAnsi="Calibri" w:cs="Calibri"/>
          <w:color w:val="auto"/>
          <w:sz w:val="22"/>
          <w:szCs w:val="22"/>
          <w:lang w:val="en-US"/>
        </w:rPr>
        <w:t xml:space="preserve">hird parties such as consultants </w:t>
      </w:r>
      <w:r w:rsidRPr="00D2132A">
        <w:rPr>
          <w:rFonts w:ascii="Calibri" w:hAnsi="Calibri" w:cs="Calibri"/>
          <w:color w:val="auto"/>
          <w:sz w:val="22"/>
          <w:szCs w:val="22"/>
          <w:lang w:val="en-US"/>
        </w:rPr>
        <w:t>may</w:t>
      </w:r>
      <w:r w:rsidR="000011CF" w:rsidRPr="00D2132A">
        <w:rPr>
          <w:rFonts w:ascii="Calibri" w:hAnsi="Calibri" w:cs="Calibri"/>
          <w:color w:val="auto"/>
          <w:sz w:val="22"/>
          <w:szCs w:val="22"/>
          <w:lang w:val="en-US"/>
        </w:rPr>
        <w:t xml:space="preserve"> advise</w:t>
      </w:r>
      <w:r w:rsidR="0090413F"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businesses</w:t>
      </w:r>
      <w:r w:rsidR="000011CF" w:rsidRPr="00D2132A">
        <w:rPr>
          <w:rFonts w:ascii="Calibri" w:hAnsi="Calibri" w:cs="Calibri"/>
          <w:color w:val="auto"/>
          <w:sz w:val="22"/>
          <w:szCs w:val="22"/>
          <w:lang w:val="en-US"/>
        </w:rPr>
        <w:t xml:space="preserve"> with regard to </w:t>
      </w:r>
      <w:r w:rsidR="00E20D62">
        <w:rPr>
          <w:rFonts w:ascii="Calibri" w:hAnsi="Calibri" w:cs="Calibri"/>
          <w:color w:val="auto"/>
          <w:sz w:val="22"/>
          <w:szCs w:val="22"/>
          <w:lang w:val="en-US"/>
        </w:rPr>
        <w:t>UK SPF</w:t>
      </w:r>
      <w:r w:rsidR="00765513" w:rsidRPr="00D2132A">
        <w:rPr>
          <w:rFonts w:ascii="Calibri" w:hAnsi="Calibri" w:cs="Calibri"/>
          <w:color w:val="auto"/>
          <w:sz w:val="22"/>
          <w:szCs w:val="22"/>
          <w:lang w:val="en-US"/>
        </w:rPr>
        <w:t xml:space="preserve"> Business Grant</w:t>
      </w:r>
      <w:r w:rsidR="000011CF" w:rsidRPr="00D2132A">
        <w:rPr>
          <w:rFonts w:ascii="Calibri" w:hAnsi="Calibri" w:cs="Calibri"/>
          <w:color w:val="auto"/>
          <w:sz w:val="22"/>
          <w:szCs w:val="22"/>
          <w:lang w:val="en-US"/>
        </w:rPr>
        <w:t xml:space="preserve"> applications, or even provide information</w:t>
      </w:r>
      <w:r w:rsidR="0090413F" w:rsidRPr="00D2132A">
        <w:rPr>
          <w:rFonts w:ascii="Calibri" w:hAnsi="Calibri" w:cs="Calibri"/>
          <w:color w:val="auto"/>
          <w:sz w:val="22"/>
          <w:szCs w:val="22"/>
          <w:lang w:val="en-US"/>
        </w:rPr>
        <w:t xml:space="preserve"> </w:t>
      </w:r>
      <w:r w:rsidR="000011CF" w:rsidRPr="00D2132A">
        <w:rPr>
          <w:rFonts w:ascii="Calibri" w:hAnsi="Calibri" w:cs="Calibri"/>
          <w:color w:val="auto"/>
          <w:sz w:val="22"/>
          <w:szCs w:val="22"/>
          <w:lang w:val="en-US"/>
        </w:rPr>
        <w:t xml:space="preserve">on behalf of the </w:t>
      </w:r>
      <w:r w:rsidR="001908E8" w:rsidRPr="00D2132A">
        <w:rPr>
          <w:rFonts w:ascii="Calibri" w:hAnsi="Calibri" w:cs="Calibri"/>
          <w:color w:val="auto"/>
          <w:sz w:val="22"/>
          <w:szCs w:val="22"/>
          <w:lang w:val="en-US"/>
        </w:rPr>
        <w:t>a</w:t>
      </w:r>
      <w:r w:rsidR="000011CF" w:rsidRPr="00D2132A">
        <w:rPr>
          <w:rFonts w:ascii="Calibri" w:hAnsi="Calibri" w:cs="Calibri"/>
          <w:color w:val="auto"/>
          <w:sz w:val="22"/>
          <w:szCs w:val="22"/>
          <w:lang w:val="en-US"/>
        </w:rPr>
        <w:t>pplicant. If the third party continues to play an active</w:t>
      </w:r>
      <w:r w:rsidR="0090413F" w:rsidRPr="00D2132A">
        <w:rPr>
          <w:rFonts w:ascii="Calibri" w:hAnsi="Calibri" w:cs="Calibri"/>
          <w:color w:val="auto"/>
          <w:sz w:val="22"/>
          <w:szCs w:val="22"/>
          <w:lang w:val="en-US"/>
        </w:rPr>
        <w:t xml:space="preserve"> </w:t>
      </w:r>
      <w:r w:rsidR="000011CF" w:rsidRPr="00D2132A">
        <w:rPr>
          <w:rFonts w:ascii="Calibri" w:hAnsi="Calibri" w:cs="Calibri"/>
          <w:color w:val="auto"/>
          <w:sz w:val="22"/>
          <w:szCs w:val="22"/>
          <w:lang w:val="en-US"/>
        </w:rPr>
        <w:t xml:space="preserve">role in the application </w:t>
      </w:r>
      <w:r w:rsidR="000011CF" w:rsidRPr="00D2132A">
        <w:rPr>
          <w:rFonts w:ascii="Calibri" w:hAnsi="Calibri" w:cs="Calibri"/>
          <w:color w:val="auto"/>
          <w:sz w:val="22"/>
          <w:szCs w:val="22"/>
          <w:lang w:val="en-US"/>
        </w:rPr>
        <w:lastRenderedPageBreak/>
        <w:t>after the appl</w:t>
      </w:r>
      <w:r w:rsidR="00441C60" w:rsidRPr="00D2132A">
        <w:rPr>
          <w:rFonts w:ascii="Calibri" w:hAnsi="Calibri" w:cs="Calibri"/>
          <w:color w:val="auto"/>
          <w:sz w:val="22"/>
          <w:szCs w:val="22"/>
          <w:lang w:val="en-US"/>
        </w:rPr>
        <w:t>ica</w:t>
      </w:r>
      <w:r w:rsidR="00254221" w:rsidRPr="00D2132A">
        <w:rPr>
          <w:rFonts w:ascii="Calibri" w:hAnsi="Calibri" w:cs="Calibri"/>
          <w:color w:val="auto"/>
          <w:sz w:val="22"/>
          <w:szCs w:val="22"/>
          <w:lang w:val="en-US"/>
        </w:rPr>
        <w:t xml:space="preserve">tion form has been submitted, </w:t>
      </w:r>
      <w:r w:rsidR="00981B48" w:rsidRPr="00D2132A">
        <w:rPr>
          <w:rFonts w:ascii="Calibri" w:hAnsi="Calibri" w:cs="Calibri"/>
          <w:color w:val="auto"/>
          <w:sz w:val="22"/>
          <w:szCs w:val="22"/>
          <w:lang w:val="en-US"/>
        </w:rPr>
        <w:t>the Chamber</w:t>
      </w:r>
      <w:r w:rsidR="00441C60" w:rsidRPr="00D2132A">
        <w:rPr>
          <w:rFonts w:ascii="Calibri" w:hAnsi="Calibri" w:cs="Calibri"/>
          <w:color w:val="auto"/>
          <w:sz w:val="22"/>
          <w:szCs w:val="22"/>
          <w:lang w:val="en-US"/>
        </w:rPr>
        <w:t xml:space="preserve"> will </w:t>
      </w:r>
      <w:r w:rsidR="000011CF" w:rsidRPr="00D2132A">
        <w:rPr>
          <w:rFonts w:ascii="Calibri" w:hAnsi="Calibri" w:cs="Calibri"/>
          <w:color w:val="auto"/>
          <w:sz w:val="22"/>
          <w:szCs w:val="22"/>
          <w:lang w:val="en-US"/>
        </w:rPr>
        <w:t xml:space="preserve">request that the applicant </w:t>
      </w:r>
      <w:r w:rsidRPr="00D2132A">
        <w:rPr>
          <w:rFonts w:ascii="Calibri" w:hAnsi="Calibri" w:cs="Calibri"/>
          <w:color w:val="auto"/>
          <w:sz w:val="22"/>
          <w:szCs w:val="22"/>
          <w:lang w:val="en-US"/>
        </w:rPr>
        <w:t>business</w:t>
      </w:r>
      <w:r w:rsidR="000011CF" w:rsidRPr="00D2132A">
        <w:rPr>
          <w:rFonts w:ascii="Calibri" w:hAnsi="Calibri" w:cs="Calibri"/>
          <w:color w:val="auto"/>
          <w:sz w:val="22"/>
          <w:szCs w:val="22"/>
          <w:lang w:val="en-US"/>
        </w:rPr>
        <w:t xml:space="preserve"> designate</w:t>
      </w:r>
      <w:r w:rsidRPr="00D2132A">
        <w:rPr>
          <w:rFonts w:ascii="Calibri" w:hAnsi="Calibri" w:cs="Calibri"/>
          <w:color w:val="auto"/>
          <w:sz w:val="22"/>
          <w:szCs w:val="22"/>
          <w:lang w:val="en-US"/>
        </w:rPr>
        <w:t>s</w:t>
      </w:r>
      <w:r w:rsidR="000011CF" w:rsidRPr="00D2132A">
        <w:rPr>
          <w:rFonts w:ascii="Calibri" w:hAnsi="Calibri" w:cs="Calibri"/>
          <w:color w:val="auto"/>
          <w:sz w:val="22"/>
          <w:szCs w:val="22"/>
          <w:lang w:val="en-US"/>
        </w:rPr>
        <w:t xml:space="preserve"> an</w:t>
      </w:r>
      <w:r w:rsidR="0090413F" w:rsidRPr="00D2132A">
        <w:rPr>
          <w:rFonts w:ascii="Calibri" w:hAnsi="Calibri" w:cs="Calibri"/>
          <w:color w:val="auto"/>
          <w:sz w:val="22"/>
          <w:szCs w:val="22"/>
          <w:lang w:val="en-US"/>
        </w:rPr>
        <w:t xml:space="preserve"> </w:t>
      </w:r>
      <w:r w:rsidR="000011CF" w:rsidRPr="00D2132A">
        <w:rPr>
          <w:rFonts w:ascii="Calibri" w:hAnsi="Calibri" w:cs="Calibri"/>
          <w:color w:val="auto"/>
          <w:sz w:val="22"/>
          <w:szCs w:val="22"/>
          <w:lang w:val="en-US"/>
        </w:rPr>
        <w:t>in-house point of contact. All correspondence regarding the appraisal of</w:t>
      </w:r>
      <w:r w:rsidR="0090413F" w:rsidRPr="00D2132A">
        <w:rPr>
          <w:rFonts w:ascii="Calibri" w:hAnsi="Calibri" w:cs="Calibri"/>
          <w:color w:val="auto"/>
          <w:sz w:val="22"/>
          <w:szCs w:val="22"/>
          <w:lang w:val="en-US"/>
        </w:rPr>
        <w:t xml:space="preserve"> </w:t>
      </w:r>
      <w:r w:rsidR="000011CF" w:rsidRPr="00D2132A">
        <w:rPr>
          <w:rFonts w:ascii="Calibri" w:hAnsi="Calibri" w:cs="Calibri"/>
          <w:color w:val="auto"/>
          <w:sz w:val="22"/>
          <w:szCs w:val="22"/>
          <w:lang w:val="en-US"/>
        </w:rPr>
        <w:t xml:space="preserve">the </w:t>
      </w:r>
      <w:r w:rsidR="00E20D62">
        <w:rPr>
          <w:rFonts w:ascii="Calibri" w:hAnsi="Calibri" w:cs="Calibri"/>
          <w:color w:val="auto"/>
          <w:sz w:val="22"/>
          <w:szCs w:val="22"/>
          <w:lang w:val="en-US"/>
        </w:rPr>
        <w:t>UK SPF</w:t>
      </w:r>
      <w:r w:rsidR="00765513" w:rsidRPr="00D2132A">
        <w:rPr>
          <w:rFonts w:ascii="Calibri" w:hAnsi="Calibri" w:cs="Calibri"/>
          <w:color w:val="auto"/>
          <w:sz w:val="22"/>
          <w:szCs w:val="22"/>
          <w:lang w:val="en-US"/>
        </w:rPr>
        <w:t xml:space="preserve"> Business Grant</w:t>
      </w:r>
      <w:r w:rsidR="000011CF" w:rsidRPr="00D2132A">
        <w:rPr>
          <w:rFonts w:ascii="Calibri" w:hAnsi="Calibri" w:cs="Calibri"/>
          <w:color w:val="auto"/>
          <w:sz w:val="22"/>
          <w:szCs w:val="22"/>
          <w:lang w:val="en-US"/>
        </w:rPr>
        <w:t xml:space="preserve"> </w:t>
      </w:r>
      <w:r w:rsidR="006C3313" w:rsidRPr="00D2132A">
        <w:rPr>
          <w:rFonts w:ascii="Calibri" w:hAnsi="Calibri" w:cs="Calibri"/>
          <w:color w:val="auto"/>
          <w:sz w:val="22"/>
          <w:szCs w:val="22"/>
          <w:lang w:val="en-US"/>
        </w:rPr>
        <w:t>application</w:t>
      </w:r>
      <w:r w:rsidR="000011CF" w:rsidRPr="00D2132A">
        <w:rPr>
          <w:rFonts w:ascii="Calibri" w:hAnsi="Calibri" w:cs="Calibri"/>
          <w:color w:val="auto"/>
          <w:sz w:val="22"/>
          <w:szCs w:val="22"/>
          <w:lang w:val="en-US"/>
        </w:rPr>
        <w:t xml:space="preserve"> should then be copied to this contact. It is the</w:t>
      </w:r>
      <w:r w:rsidR="0090413F" w:rsidRPr="00D2132A">
        <w:rPr>
          <w:rFonts w:ascii="Calibri" w:hAnsi="Calibri" w:cs="Calibri"/>
          <w:color w:val="auto"/>
          <w:sz w:val="22"/>
          <w:szCs w:val="22"/>
          <w:lang w:val="en-US"/>
        </w:rPr>
        <w:t xml:space="preserve"> </w:t>
      </w:r>
      <w:r w:rsidR="000011CF" w:rsidRPr="00D2132A">
        <w:rPr>
          <w:rFonts w:ascii="Calibri" w:hAnsi="Calibri" w:cs="Calibri"/>
          <w:color w:val="auto"/>
          <w:sz w:val="22"/>
          <w:szCs w:val="22"/>
          <w:lang w:val="en-US"/>
        </w:rPr>
        <w:t>responsibility of the applicant to ensure that any information submitted</w:t>
      </w:r>
      <w:r w:rsidR="0090413F" w:rsidRPr="00D2132A">
        <w:rPr>
          <w:rFonts w:ascii="Calibri" w:hAnsi="Calibri" w:cs="Calibri"/>
          <w:color w:val="auto"/>
          <w:sz w:val="22"/>
          <w:szCs w:val="22"/>
          <w:lang w:val="en-US"/>
        </w:rPr>
        <w:t xml:space="preserve"> </w:t>
      </w:r>
      <w:r w:rsidR="000011CF" w:rsidRPr="00D2132A">
        <w:rPr>
          <w:rFonts w:ascii="Calibri" w:hAnsi="Calibri" w:cs="Calibri"/>
          <w:color w:val="auto"/>
          <w:sz w:val="22"/>
          <w:szCs w:val="22"/>
          <w:lang w:val="en-US"/>
        </w:rPr>
        <w:t xml:space="preserve">on its behalf is accurate and complete. </w:t>
      </w:r>
    </w:p>
    <w:p w14:paraId="4B2F83E0" w14:textId="1734060D" w:rsidR="000011CF" w:rsidRPr="00D2132A" w:rsidRDefault="00A2250E" w:rsidP="00B439E3">
      <w:pPr>
        <w:pStyle w:val="TOC-Sub"/>
        <w:outlineLvl w:val="1"/>
        <w:rPr>
          <w:color w:val="auto"/>
        </w:rPr>
      </w:pPr>
      <w:bookmarkStart w:id="94" w:name="_Toc9585338"/>
      <w:bookmarkStart w:id="95" w:name="_Toc152159679"/>
      <w:bookmarkStart w:id="96" w:name="_Toc157694457"/>
      <w:r w:rsidRPr="00D2132A">
        <w:rPr>
          <w:color w:val="auto"/>
        </w:rPr>
        <w:t>6</w:t>
      </w:r>
      <w:r w:rsidR="0018068D" w:rsidRPr="00D2132A">
        <w:rPr>
          <w:color w:val="auto"/>
        </w:rPr>
        <w:t>.</w:t>
      </w:r>
      <w:r w:rsidR="006E612B" w:rsidRPr="00D2132A">
        <w:rPr>
          <w:color w:val="auto"/>
        </w:rPr>
        <w:t>7</w:t>
      </w:r>
      <w:r w:rsidR="0018068D" w:rsidRPr="00D2132A">
        <w:rPr>
          <w:color w:val="auto"/>
        </w:rPr>
        <w:tab/>
      </w:r>
      <w:r w:rsidR="000011CF" w:rsidRPr="00D2132A">
        <w:rPr>
          <w:color w:val="auto"/>
        </w:rPr>
        <w:t xml:space="preserve">Level of </w:t>
      </w:r>
      <w:r w:rsidR="006E612B" w:rsidRPr="00D2132A">
        <w:rPr>
          <w:color w:val="auto"/>
        </w:rPr>
        <w:t>A</w:t>
      </w:r>
      <w:r w:rsidR="000011CF" w:rsidRPr="00D2132A">
        <w:rPr>
          <w:color w:val="auto"/>
        </w:rPr>
        <w:t>ssistance</w:t>
      </w:r>
      <w:bookmarkEnd w:id="94"/>
      <w:bookmarkEnd w:id="95"/>
      <w:bookmarkEnd w:id="96"/>
    </w:p>
    <w:p w14:paraId="551E3EE4" w14:textId="67E084B1" w:rsidR="00270C22" w:rsidRPr="00D2132A" w:rsidRDefault="00B10C81" w:rsidP="00E03BA8">
      <w:pPr>
        <w:pStyle w:val="Bulletedtextlevel2"/>
        <w:numPr>
          <w:ilvl w:val="0"/>
          <w:numId w:val="0"/>
        </w:numPr>
        <w:jc w:val="both"/>
        <w:rPr>
          <w:rFonts w:ascii="Calibri" w:hAnsi="Calibri" w:cs="Calibri"/>
          <w:color w:val="auto"/>
          <w:sz w:val="22"/>
          <w:szCs w:val="22"/>
        </w:rPr>
      </w:pPr>
      <w:bookmarkStart w:id="97" w:name="_Toc349307637"/>
      <w:bookmarkStart w:id="98" w:name="_Toc349307786"/>
      <w:bookmarkStart w:id="99" w:name="_Toc349308219"/>
      <w:bookmarkStart w:id="100" w:name="_Toc349308296"/>
      <w:bookmarkStart w:id="101" w:name="_Toc349308404"/>
      <w:bookmarkStart w:id="102" w:name="_Toc349308497"/>
      <w:r w:rsidRPr="00D2132A">
        <w:rPr>
          <w:rFonts w:ascii="Calibri" w:hAnsi="Calibri" w:cs="Calibri"/>
          <w:color w:val="auto"/>
          <w:sz w:val="22"/>
          <w:szCs w:val="22"/>
          <w:lang w:val="en-US"/>
        </w:rPr>
        <w:t xml:space="preserve">The maximum grant percentage is </w:t>
      </w:r>
      <w:r w:rsidR="008748FF" w:rsidRPr="00D627C0">
        <w:rPr>
          <w:rFonts w:ascii="Calibri" w:hAnsi="Calibri" w:cs="Calibri"/>
          <w:color w:val="auto"/>
          <w:sz w:val="22"/>
          <w:szCs w:val="22"/>
          <w:lang w:val="en-US"/>
        </w:rPr>
        <w:t>5</w:t>
      </w:r>
      <w:r w:rsidRPr="00D627C0">
        <w:rPr>
          <w:rFonts w:ascii="Calibri" w:hAnsi="Calibri" w:cs="Calibri"/>
          <w:color w:val="auto"/>
          <w:sz w:val="22"/>
          <w:szCs w:val="22"/>
          <w:lang w:val="en-US"/>
        </w:rPr>
        <w:t>0</w:t>
      </w:r>
      <w:r w:rsidRPr="00D2132A">
        <w:rPr>
          <w:rFonts w:ascii="Calibri" w:hAnsi="Calibri" w:cs="Calibri"/>
          <w:color w:val="auto"/>
          <w:sz w:val="22"/>
          <w:szCs w:val="22"/>
          <w:lang w:val="en-US"/>
        </w:rPr>
        <w:t xml:space="preserve">% </w:t>
      </w:r>
      <w:r w:rsidR="00626EBA" w:rsidRPr="00D2132A">
        <w:rPr>
          <w:rFonts w:ascii="Calibri" w:hAnsi="Calibri" w:cs="Calibri"/>
          <w:color w:val="auto"/>
          <w:sz w:val="22"/>
          <w:szCs w:val="22"/>
          <w:lang w:val="en-US"/>
        </w:rPr>
        <w:t>and the grant awarded</w:t>
      </w:r>
      <w:r w:rsidR="00B45D6D" w:rsidRPr="00D2132A">
        <w:rPr>
          <w:rFonts w:ascii="Calibri" w:hAnsi="Calibri" w:cs="Calibri"/>
          <w:color w:val="auto"/>
          <w:sz w:val="22"/>
          <w:szCs w:val="22"/>
          <w:lang w:val="en-US"/>
        </w:rPr>
        <w:t xml:space="preserve"> will be the minimum up to the percentage </w:t>
      </w:r>
      <w:r w:rsidR="00C81CAF" w:rsidRPr="00D2132A">
        <w:rPr>
          <w:rFonts w:ascii="Calibri" w:hAnsi="Calibri" w:cs="Calibri"/>
          <w:color w:val="auto"/>
          <w:sz w:val="22"/>
          <w:szCs w:val="22"/>
          <w:lang w:val="en-US"/>
        </w:rPr>
        <w:t>required for the project to proceed.</w:t>
      </w:r>
      <w:r w:rsidR="00E03BA8" w:rsidRPr="00D2132A">
        <w:rPr>
          <w:rFonts w:ascii="Calibri" w:hAnsi="Calibri" w:cs="Calibri"/>
          <w:color w:val="auto"/>
          <w:sz w:val="22"/>
          <w:szCs w:val="22"/>
          <w:lang w:val="en-US"/>
        </w:rPr>
        <w:t xml:space="preserve"> </w:t>
      </w:r>
      <w:r w:rsidR="00270C22" w:rsidRPr="00D2132A">
        <w:rPr>
          <w:rFonts w:ascii="Calibri" w:hAnsi="Calibri" w:cs="Calibri"/>
          <w:color w:val="auto"/>
          <w:sz w:val="22"/>
          <w:szCs w:val="22"/>
        </w:rPr>
        <w:t xml:space="preserve">Once the size of grant has formally been agreed with </w:t>
      </w:r>
      <w:r w:rsidR="0018068D" w:rsidRPr="00D2132A">
        <w:rPr>
          <w:rFonts w:ascii="Calibri" w:hAnsi="Calibri" w:cs="Calibri"/>
          <w:color w:val="auto"/>
          <w:sz w:val="22"/>
          <w:szCs w:val="22"/>
        </w:rPr>
        <w:t>the business</w:t>
      </w:r>
      <w:r w:rsidR="00270C22" w:rsidRPr="00D2132A">
        <w:rPr>
          <w:rFonts w:ascii="Calibri" w:hAnsi="Calibri" w:cs="Calibri"/>
          <w:color w:val="auto"/>
          <w:sz w:val="22"/>
          <w:szCs w:val="22"/>
        </w:rPr>
        <w:t xml:space="preserve"> (i.e. the business signs the offer letter) it cannot be revised upwards to reflect additional project costs).</w:t>
      </w:r>
    </w:p>
    <w:p w14:paraId="7575757A" w14:textId="3A8489D5" w:rsidR="0018068D" w:rsidRPr="00D2132A" w:rsidRDefault="00A2250E" w:rsidP="00B439E3">
      <w:pPr>
        <w:pStyle w:val="TOC-Sub"/>
        <w:outlineLvl w:val="1"/>
        <w:rPr>
          <w:color w:val="auto"/>
          <w:lang w:val="en-US"/>
        </w:rPr>
      </w:pPr>
      <w:bookmarkStart w:id="103" w:name="_Toc9585339"/>
      <w:bookmarkStart w:id="104" w:name="_Toc152159680"/>
      <w:bookmarkStart w:id="105" w:name="_Toc157694458"/>
      <w:bookmarkStart w:id="106" w:name="_Toc349307638"/>
      <w:bookmarkStart w:id="107" w:name="_Toc349307787"/>
      <w:bookmarkStart w:id="108" w:name="_Toc349308220"/>
      <w:bookmarkStart w:id="109" w:name="_Toc349308297"/>
      <w:bookmarkStart w:id="110" w:name="_Toc349308405"/>
      <w:bookmarkStart w:id="111" w:name="_Toc349308498"/>
      <w:bookmarkEnd w:id="97"/>
      <w:bookmarkEnd w:id="98"/>
      <w:bookmarkEnd w:id="99"/>
      <w:bookmarkEnd w:id="100"/>
      <w:bookmarkEnd w:id="101"/>
      <w:bookmarkEnd w:id="102"/>
      <w:r w:rsidRPr="00D2132A">
        <w:rPr>
          <w:color w:val="auto"/>
          <w:lang w:val="en-US"/>
        </w:rPr>
        <w:t>6</w:t>
      </w:r>
      <w:r w:rsidR="0018068D" w:rsidRPr="00D2132A">
        <w:rPr>
          <w:color w:val="auto"/>
          <w:lang w:val="en-US"/>
        </w:rPr>
        <w:t>.</w:t>
      </w:r>
      <w:r w:rsidR="006E612B" w:rsidRPr="00D2132A">
        <w:rPr>
          <w:color w:val="auto"/>
          <w:lang w:val="en-US"/>
        </w:rPr>
        <w:t>8</w:t>
      </w:r>
      <w:r w:rsidR="0018068D" w:rsidRPr="00D2132A">
        <w:rPr>
          <w:color w:val="auto"/>
          <w:lang w:val="en-US"/>
        </w:rPr>
        <w:tab/>
        <w:t>Offer Letter</w:t>
      </w:r>
      <w:bookmarkEnd w:id="103"/>
      <w:bookmarkEnd w:id="104"/>
      <w:bookmarkEnd w:id="105"/>
    </w:p>
    <w:p w14:paraId="782B2D06" w14:textId="478C1207" w:rsidR="0018068D" w:rsidRPr="00D2132A" w:rsidRDefault="0018068D" w:rsidP="0018068D">
      <w:pPr>
        <w:pStyle w:val="Bodycopy"/>
        <w:jc w:val="both"/>
        <w:rPr>
          <w:rFonts w:ascii="Calibri" w:hAnsi="Calibri" w:cs="Calibri"/>
          <w:color w:val="auto"/>
          <w:sz w:val="22"/>
          <w:szCs w:val="22"/>
          <w:lang w:val="en-US"/>
        </w:rPr>
      </w:pPr>
      <w:r w:rsidRPr="00D2132A">
        <w:rPr>
          <w:rFonts w:ascii="Calibri" w:hAnsi="Calibri" w:cs="Calibri"/>
          <w:color w:val="auto"/>
          <w:sz w:val="22"/>
          <w:szCs w:val="22"/>
          <w:lang w:val="en-US"/>
        </w:rPr>
        <w:t>The offer letter will set out the conditions of the grant and the standard text is non-negotiable. It may be necessary to add clauses to ensure that all of the conditions associated with the grant are accurately reflected in the offer letter.</w:t>
      </w:r>
    </w:p>
    <w:p w14:paraId="6901128E" w14:textId="179BF3D6" w:rsidR="009B680F" w:rsidRPr="00D2132A" w:rsidRDefault="00A2250E" w:rsidP="00B439E3">
      <w:pPr>
        <w:pStyle w:val="TOC-Sub"/>
        <w:outlineLvl w:val="1"/>
        <w:rPr>
          <w:color w:val="auto"/>
          <w:lang w:val="en-US"/>
        </w:rPr>
      </w:pPr>
      <w:bookmarkStart w:id="112" w:name="_Toc152159681"/>
      <w:bookmarkStart w:id="113" w:name="_Toc157694459"/>
      <w:r w:rsidRPr="00D2132A">
        <w:rPr>
          <w:color w:val="auto"/>
          <w:lang w:val="en-US"/>
        </w:rPr>
        <w:t>6</w:t>
      </w:r>
      <w:r w:rsidR="0018068D" w:rsidRPr="00D2132A">
        <w:rPr>
          <w:color w:val="auto"/>
          <w:lang w:val="en-US"/>
        </w:rPr>
        <w:t>.</w:t>
      </w:r>
      <w:r w:rsidR="006E612B" w:rsidRPr="00D2132A">
        <w:rPr>
          <w:color w:val="auto"/>
          <w:lang w:val="en-US"/>
        </w:rPr>
        <w:t>9</w:t>
      </w:r>
      <w:r w:rsidR="0018068D" w:rsidRPr="00D2132A">
        <w:rPr>
          <w:color w:val="auto"/>
          <w:lang w:val="en-US"/>
        </w:rPr>
        <w:tab/>
      </w:r>
      <w:r w:rsidR="009B680F" w:rsidRPr="00D2132A">
        <w:rPr>
          <w:color w:val="auto"/>
          <w:lang w:val="en-US"/>
        </w:rPr>
        <w:t xml:space="preserve">Payment of </w:t>
      </w:r>
      <w:r w:rsidR="00C56B46" w:rsidRPr="00D2132A">
        <w:rPr>
          <w:color w:val="auto"/>
          <w:lang w:val="en-US"/>
        </w:rPr>
        <w:t>G</w:t>
      </w:r>
      <w:r w:rsidR="009B680F" w:rsidRPr="00D2132A">
        <w:rPr>
          <w:color w:val="auto"/>
          <w:lang w:val="en-US"/>
        </w:rPr>
        <w:t>rant</w:t>
      </w:r>
      <w:bookmarkEnd w:id="106"/>
      <w:bookmarkEnd w:id="107"/>
      <w:bookmarkEnd w:id="108"/>
      <w:bookmarkEnd w:id="109"/>
      <w:bookmarkEnd w:id="110"/>
      <w:bookmarkEnd w:id="111"/>
      <w:bookmarkEnd w:id="112"/>
      <w:bookmarkEnd w:id="113"/>
    </w:p>
    <w:p w14:paraId="6931CD5E" w14:textId="340CAB6A" w:rsidR="000011CF" w:rsidRPr="00D2132A" w:rsidRDefault="00E20D62" w:rsidP="00E03BA8">
      <w:pPr>
        <w:pStyle w:val="Bodycopy"/>
        <w:jc w:val="both"/>
        <w:rPr>
          <w:rFonts w:ascii="Calibri" w:hAnsi="Calibri" w:cs="Calibri"/>
          <w:color w:val="auto"/>
          <w:sz w:val="22"/>
          <w:szCs w:val="22"/>
        </w:rPr>
      </w:pPr>
      <w:r>
        <w:rPr>
          <w:rFonts w:ascii="Calibri" w:hAnsi="Calibri" w:cs="Calibri"/>
          <w:color w:val="auto"/>
          <w:sz w:val="22"/>
          <w:szCs w:val="22"/>
          <w:lang w:val="en-US"/>
        </w:rPr>
        <w:t>UK SPF</w:t>
      </w:r>
      <w:r w:rsidR="00765513" w:rsidRPr="00D2132A">
        <w:rPr>
          <w:rFonts w:ascii="Calibri" w:hAnsi="Calibri" w:cs="Calibri"/>
          <w:color w:val="auto"/>
          <w:sz w:val="22"/>
          <w:szCs w:val="22"/>
          <w:lang w:val="en-US"/>
        </w:rPr>
        <w:t xml:space="preserve"> Business Grant</w:t>
      </w:r>
      <w:r w:rsidR="000011CF" w:rsidRPr="00D2132A">
        <w:rPr>
          <w:rFonts w:ascii="Calibri" w:hAnsi="Calibri" w:cs="Calibri"/>
          <w:color w:val="auto"/>
          <w:sz w:val="22"/>
          <w:szCs w:val="22"/>
          <w:lang w:val="en-US"/>
        </w:rPr>
        <w:t xml:space="preserve"> support </w:t>
      </w:r>
      <w:r w:rsidR="00635B3A" w:rsidRPr="00D2132A">
        <w:rPr>
          <w:rFonts w:ascii="Calibri" w:hAnsi="Calibri" w:cs="Calibri"/>
          <w:color w:val="auto"/>
          <w:sz w:val="22"/>
          <w:szCs w:val="22"/>
          <w:lang w:val="en-US"/>
        </w:rPr>
        <w:t>will</w:t>
      </w:r>
      <w:r w:rsidR="000011CF" w:rsidRPr="00D2132A">
        <w:rPr>
          <w:rFonts w:ascii="Calibri" w:hAnsi="Calibri" w:cs="Calibri"/>
          <w:color w:val="auto"/>
          <w:sz w:val="22"/>
          <w:szCs w:val="22"/>
          <w:lang w:val="en-US"/>
        </w:rPr>
        <w:t xml:space="preserve"> take the form of a grant, payable in</w:t>
      </w:r>
      <w:r w:rsidR="00CE70D6" w:rsidRPr="00D2132A">
        <w:rPr>
          <w:rFonts w:ascii="Calibri" w:hAnsi="Calibri" w:cs="Calibri"/>
          <w:color w:val="auto"/>
          <w:sz w:val="22"/>
          <w:szCs w:val="22"/>
          <w:lang w:val="en-US"/>
        </w:rPr>
        <w:t xml:space="preserve"> full </w:t>
      </w:r>
      <w:r w:rsidR="0074143A" w:rsidRPr="00D2132A">
        <w:rPr>
          <w:rFonts w:ascii="Calibri" w:hAnsi="Calibri" w:cs="Calibri"/>
          <w:color w:val="auto"/>
          <w:sz w:val="22"/>
          <w:szCs w:val="22"/>
          <w:lang w:val="en-US"/>
        </w:rPr>
        <w:t xml:space="preserve">or </w:t>
      </w:r>
      <w:r w:rsidR="003B055E" w:rsidRPr="00D2132A">
        <w:rPr>
          <w:rFonts w:ascii="Calibri" w:hAnsi="Calibri" w:cs="Calibri"/>
          <w:color w:val="auto"/>
          <w:sz w:val="22"/>
          <w:szCs w:val="22"/>
          <w:lang w:val="en-US"/>
        </w:rPr>
        <w:t>in</w:t>
      </w:r>
      <w:r w:rsidR="00D7788C" w:rsidRPr="00D2132A">
        <w:rPr>
          <w:rFonts w:ascii="Calibri" w:hAnsi="Calibri" w:cs="Calibri"/>
          <w:color w:val="auto"/>
          <w:sz w:val="22"/>
          <w:szCs w:val="22"/>
          <w:lang w:val="en-US"/>
        </w:rPr>
        <w:t xml:space="preserve"> </w:t>
      </w:r>
      <w:r w:rsidR="000011CF" w:rsidRPr="00D2132A">
        <w:rPr>
          <w:rFonts w:ascii="Calibri" w:hAnsi="Calibri" w:cs="Calibri"/>
          <w:color w:val="auto"/>
          <w:sz w:val="22"/>
          <w:szCs w:val="22"/>
          <w:lang w:val="en-US"/>
        </w:rPr>
        <w:t>instalments triggered by the achievement by the recipient company of</w:t>
      </w:r>
      <w:r w:rsidR="00D7788C" w:rsidRPr="00D2132A">
        <w:rPr>
          <w:rFonts w:ascii="Calibri" w:hAnsi="Calibri" w:cs="Calibri"/>
          <w:color w:val="auto"/>
          <w:sz w:val="22"/>
          <w:szCs w:val="22"/>
          <w:lang w:val="en-US"/>
        </w:rPr>
        <w:t xml:space="preserve"> </w:t>
      </w:r>
      <w:r w:rsidR="000011CF" w:rsidRPr="00D2132A">
        <w:rPr>
          <w:rFonts w:ascii="Calibri" w:hAnsi="Calibri" w:cs="Calibri"/>
          <w:color w:val="auto"/>
          <w:sz w:val="22"/>
          <w:szCs w:val="22"/>
          <w:lang w:val="en-US"/>
        </w:rPr>
        <w:t>specific expenditure milestones set out in</w:t>
      </w:r>
      <w:r w:rsidR="00D7788C" w:rsidRPr="00D2132A">
        <w:rPr>
          <w:rFonts w:ascii="Calibri" w:hAnsi="Calibri" w:cs="Calibri"/>
          <w:color w:val="auto"/>
          <w:sz w:val="22"/>
          <w:szCs w:val="22"/>
          <w:lang w:val="en-US"/>
        </w:rPr>
        <w:t xml:space="preserve"> </w:t>
      </w:r>
      <w:r w:rsidR="000011CF" w:rsidRPr="00D2132A">
        <w:rPr>
          <w:rFonts w:ascii="Calibri" w:hAnsi="Calibri" w:cs="Calibri"/>
          <w:color w:val="auto"/>
          <w:sz w:val="22"/>
          <w:szCs w:val="22"/>
        </w:rPr>
        <w:t>the offer letter for the grant.</w:t>
      </w:r>
    </w:p>
    <w:p w14:paraId="36C30CF8" w14:textId="77777777" w:rsidR="0018068D" w:rsidRPr="00D2132A" w:rsidRDefault="0018068D" w:rsidP="00AD2291">
      <w:pPr>
        <w:pStyle w:val="Bodycopy"/>
        <w:rPr>
          <w:rFonts w:ascii="Calibri" w:hAnsi="Calibri" w:cs="Calibri"/>
          <w:color w:val="auto"/>
          <w:sz w:val="22"/>
          <w:szCs w:val="22"/>
        </w:rPr>
      </w:pPr>
    </w:p>
    <w:p w14:paraId="304BD50C" w14:textId="165A9AA6" w:rsidR="0018068D" w:rsidRPr="00D2132A" w:rsidRDefault="0018068D" w:rsidP="0018068D">
      <w:pPr>
        <w:pStyle w:val="Bodycopy"/>
        <w:jc w:val="both"/>
        <w:rPr>
          <w:rFonts w:ascii="Calibri" w:hAnsi="Calibri" w:cs="Calibri"/>
          <w:color w:val="auto"/>
          <w:sz w:val="22"/>
          <w:szCs w:val="22"/>
        </w:rPr>
      </w:pPr>
      <w:r w:rsidRPr="00D2132A">
        <w:rPr>
          <w:rFonts w:ascii="Calibri" w:hAnsi="Calibri" w:cs="Calibri"/>
          <w:color w:val="auto"/>
          <w:sz w:val="22"/>
          <w:szCs w:val="22"/>
        </w:rPr>
        <w:t xml:space="preserve">Expenditure must be incurred and </w:t>
      </w:r>
      <w:r w:rsidRPr="00D627C0">
        <w:rPr>
          <w:rFonts w:ascii="Calibri" w:hAnsi="Calibri" w:cs="Calibri"/>
          <w:b/>
          <w:bCs/>
          <w:color w:val="auto"/>
          <w:sz w:val="22"/>
          <w:szCs w:val="22"/>
        </w:rPr>
        <w:t>fully defrayed</w:t>
      </w:r>
      <w:r w:rsidRPr="00D2132A">
        <w:rPr>
          <w:rFonts w:ascii="Calibri" w:hAnsi="Calibri" w:cs="Calibri"/>
          <w:color w:val="auto"/>
          <w:sz w:val="22"/>
          <w:szCs w:val="22"/>
        </w:rPr>
        <w:t xml:space="preserve"> before grant claims relating to that expenditure can be submitted, other than expenditure via HP, leases and capitalised salaries. </w:t>
      </w:r>
    </w:p>
    <w:p w14:paraId="36A06BB0" w14:textId="77777777" w:rsidR="000F707C" w:rsidRPr="00D2132A" w:rsidRDefault="000F707C" w:rsidP="00AD2291">
      <w:pPr>
        <w:pStyle w:val="Bodycopy"/>
        <w:rPr>
          <w:rFonts w:ascii="Calibri" w:hAnsi="Calibri" w:cs="Calibri"/>
          <w:color w:val="auto"/>
          <w:sz w:val="22"/>
          <w:szCs w:val="22"/>
          <w:lang w:val="en-US"/>
        </w:rPr>
      </w:pPr>
    </w:p>
    <w:p w14:paraId="574DE0D1" w14:textId="77777777" w:rsidR="0018068D" w:rsidRPr="00D2132A" w:rsidRDefault="000F707C" w:rsidP="0018068D">
      <w:pPr>
        <w:pStyle w:val="Bodycopy"/>
        <w:jc w:val="both"/>
        <w:rPr>
          <w:rFonts w:ascii="Calibri" w:hAnsi="Calibri" w:cs="Calibri"/>
          <w:color w:val="auto"/>
          <w:sz w:val="22"/>
          <w:szCs w:val="22"/>
          <w:lang w:val="en-US"/>
        </w:rPr>
      </w:pPr>
      <w:r w:rsidRPr="00D2132A">
        <w:rPr>
          <w:rFonts w:ascii="Calibri" w:hAnsi="Calibri" w:cs="Calibri"/>
          <w:color w:val="auto"/>
          <w:sz w:val="22"/>
          <w:szCs w:val="22"/>
          <w:lang w:val="en-US"/>
        </w:rPr>
        <w:t>T</w:t>
      </w:r>
      <w:r w:rsidR="000011CF" w:rsidRPr="00D2132A">
        <w:rPr>
          <w:rFonts w:ascii="Calibri" w:hAnsi="Calibri" w:cs="Calibri"/>
          <w:color w:val="auto"/>
          <w:sz w:val="22"/>
          <w:szCs w:val="22"/>
          <w:lang w:val="en-US"/>
        </w:rPr>
        <w:t xml:space="preserve">he grant </w:t>
      </w:r>
      <w:r w:rsidRPr="00D2132A">
        <w:rPr>
          <w:rFonts w:ascii="Calibri" w:hAnsi="Calibri" w:cs="Calibri"/>
          <w:color w:val="auto"/>
          <w:sz w:val="22"/>
          <w:szCs w:val="22"/>
          <w:lang w:val="en-US"/>
        </w:rPr>
        <w:t xml:space="preserve">will </w:t>
      </w:r>
      <w:r w:rsidR="000011CF" w:rsidRPr="00D2132A">
        <w:rPr>
          <w:rFonts w:ascii="Calibri" w:hAnsi="Calibri" w:cs="Calibri"/>
          <w:color w:val="auto"/>
          <w:sz w:val="22"/>
          <w:szCs w:val="22"/>
          <w:lang w:val="en-US"/>
        </w:rPr>
        <w:t xml:space="preserve">be recoverable in part or in whole in cases where the project associated with the grant does not satisfy the conditions set out in the offer letter. </w:t>
      </w:r>
      <w:bookmarkStart w:id="114" w:name="_Toc9585340"/>
    </w:p>
    <w:p w14:paraId="1ABBE0BD" w14:textId="77777777" w:rsidR="00C56B46" w:rsidRDefault="00C56B46" w:rsidP="0018068D">
      <w:pPr>
        <w:pStyle w:val="Bodycopy"/>
        <w:jc w:val="both"/>
        <w:rPr>
          <w:rFonts w:ascii="Calibri" w:hAnsi="Calibri" w:cs="Calibri"/>
          <w:sz w:val="22"/>
          <w:szCs w:val="22"/>
          <w:lang w:val="en-US"/>
        </w:rPr>
      </w:pPr>
    </w:p>
    <w:p w14:paraId="616CE5B4" w14:textId="18FF4B8D" w:rsidR="000011CF" w:rsidRDefault="00A2250E" w:rsidP="00B439E3">
      <w:pPr>
        <w:pStyle w:val="TOCHeader"/>
        <w:outlineLvl w:val="0"/>
      </w:pPr>
      <w:bookmarkStart w:id="115" w:name="_Toc157694460"/>
      <w:r>
        <w:t>7</w:t>
      </w:r>
      <w:r w:rsidR="0018068D" w:rsidRPr="00C2122D">
        <w:t>.0</w:t>
      </w:r>
      <w:r w:rsidR="0018068D" w:rsidRPr="00C2122D">
        <w:tab/>
      </w:r>
      <w:r w:rsidR="000011CF" w:rsidRPr="00C2122D">
        <w:t>MONITORING</w:t>
      </w:r>
      <w:bookmarkEnd w:id="114"/>
      <w:bookmarkEnd w:id="115"/>
    </w:p>
    <w:p w14:paraId="57DAC638" w14:textId="0F46E2D6" w:rsidR="00C56B46" w:rsidRPr="00D2132A" w:rsidRDefault="00A2250E" w:rsidP="00B439E3">
      <w:pPr>
        <w:pStyle w:val="TOC-Sub"/>
        <w:outlineLvl w:val="1"/>
        <w:rPr>
          <w:color w:val="auto"/>
        </w:rPr>
      </w:pPr>
      <w:bookmarkStart w:id="116" w:name="_Toc152159683"/>
      <w:bookmarkStart w:id="117" w:name="_Toc157694461"/>
      <w:r w:rsidRPr="00D2132A">
        <w:rPr>
          <w:color w:val="auto"/>
        </w:rPr>
        <w:t>7</w:t>
      </w:r>
      <w:r w:rsidR="00C56B46" w:rsidRPr="00D2132A">
        <w:rPr>
          <w:color w:val="auto"/>
        </w:rPr>
        <w:t>.1</w:t>
      </w:r>
      <w:r w:rsidR="00C56B46" w:rsidRPr="00D2132A">
        <w:rPr>
          <w:color w:val="auto"/>
        </w:rPr>
        <w:tab/>
        <w:t>Role of Monitoring Officer</w:t>
      </w:r>
      <w:bookmarkEnd w:id="116"/>
      <w:bookmarkEnd w:id="117"/>
    </w:p>
    <w:p w14:paraId="507C0E5B" w14:textId="77777777" w:rsidR="00A811C0" w:rsidRPr="00D2132A" w:rsidRDefault="00655240" w:rsidP="00A811C0">
      <w:pPr>
        <w:pStyle w:val="Bodycopy"/>
        <w:jc w:val="both"/>
        <w:rPr>
          <w:rFonts w:ascii="Calibri" w:hAnsi="Calibri" w:cs="Calibri"/>
          <w:color w:val="auto"/>
          <w:sz w:val="22"/>
          <w:szCs w:val="22"/>
          <w:lang w:val="en-US"/>
        </w:rPr>
      </w:pPr>
      <w:r w:rsidRPr="00D2132A">
        <w:rPr>
          <w:rFonts w:ascii="Calibri" w:hAnsi="Calibri" w:cs="Calibri"/>
          <w:color w:val="auto"/>
          <w:sz w:val="22"/>
          <w:szCs w:val="22"/>
          <w:lang w:val="en-US"/>
        </w:rPr>
        <w:t>T</w:t>
      </w:r>
      <w:r w:rsidR="00981B48" w:rsidRPr="00D2132A">
        <w:rPr>
          <w:rFonts w:ascii="Calibri" w:hAnsi="Calibri" w:cs="Calibri"/>
          <w:color w:val="auto"/>
          <w:sz w:val="22"/>
          <w:szCs w:val="22"/>
          <w:lang w:val="en-US"/>
        </w:rPr>
        <w:t>he Chamber</w:t>
      </w:r>
      <w:r w:rsidR="000011CF" w:rsidRPr="00D2132A">
        <w:rPr>
          <w:rFonts w:ascii="Calibri" w:hAnsi="Calibri" w:cs="Calibri"/>
          <w:color w:val="auto"/>
          <w:sz w:val="22"/>
          <w:szCs w:val="22"/>
          <w:lang w:val="en-US"/>
        </w:rPr>
        <w:t xml:space="preserve"> has a responsibility</w:t>
      </w:r>
      <w:r w:rsidR="008F7969" w:rsidRPr="00D2132A">
        <w:rPr>
          <w:rFonts w:ascii="Calibri" w:hAnsi="Calibri" w:cs="Calibri"/>
          <w:color w:val="auto"/>
          <w:sz w:val="22"/>
          <w:szCs w:val="22"/>
          <w:lang w:val="en-US"/>
        </w:rPr>
        <w:t xml:space="preserve"> </w:t>
      </w:r>
      <w:r w:rsidR="000011CF" w:rsidRPr="00D2132A">
        <w:rPr>
          <w:rFonts w:ascii="Calibri" w:hAnsi="Calibri" w:cs="Calibri"/>
          <w:color w:val="auto"/>
          <w:sz w:val="22"/>
          <w:szCs w:val="22"/>
          <w:lang w:val="en-US"/>
        </w:rPr>
        <w:t xml:space="preserve">to obtain enough information to assess the continuing viability of the </w:t>
      </w:r>
      <w:r w:rsidR="0039557D" w:rsidRPr="00D2132A">
        <w:rPr>
          <w:rFonts w:ascii="Calibri" w:hAnsi="Calibri" w:cs="Calibri"/>
          <w:color w:val="auto"/>
          <w:sz w:val="22"/>
          <w:szCs w:val="22"/>
          <w:lang w:val="en-US"/>
        </w:rPr>
        <w:t>business</w:t>
      </w:r>
      <w:r w:rsidR="000011CF" w:rsidRPr="00D2132A">
        <w:rPr>
          <w:rFonts w:ascii="Calibri" w:hAnsi="Calibri" w:cs="Calibri"/>
          <w:color w:val="auto"/>
          <w:sz w:val="22"/>
          <w:szCs w:val="22"/>
          <w:lang w:val="en-US"/>
        </w:rPr>
        <w:t xml:space="preserve"> and progress of the project, to ensure that the assistance is being used for the purposes for which it was provided</w:t>
      </w:r>
      <w:r w:rsidR="00C56B46" w:rsidRPr="00D2132A">
        <w:rPr>
          <w:rFonts w:ascii="Calibri" w:hAnsi="Calibri" w:cs="Calibri"/>
          <w:color w:val="auto"/>
          <w:sz w:val="22"/>
          <w:szCs w:val="22"/>
          <w:lang w:val="en-US"/>
        </w:rPr>
        <w:t xml:space="preserve"> and the conditions of grant are being complied with</w:t>
      </w:r>
      <w:r w:rsidR="000011CF" w:rsidRPr="00D2132A">
        <w:rPr>
          <w:rFonts w:ascii="Calibri" w:hAnsi="Calibri" w:cs="Calibri"/>
          <w:color w:val="auto"/>
          <w:sz w:val="22"/>
          <w:szCs w:val="22"/>
          <w:lang w:val="en-US"/>
        </w:rPr>
        <w:t xml:space="preserve"> and to confirm </w:t>
      </w:r>
      <w:r w:rsidR="00C56B46" w:rsidRPr="00D2132A">
        <w:rPr>
          <w:rFonts w:ascii="Calibri" w:hAnsi="Calibri" w:cs="Calibri"/>
          <w:color w:val="auto"/>
          <w:sz w:val="22"/>
          <w:szCs w:val="22"/>
          <w:lang w:val="en-US"/>
        </w:rPr>
        <w:t xml:space="preserve">achievement of outputs and outcomes and </w:t>
      </w:r>
      <w:r w:rsidR="000011CF" w:rsidRPr="00D2132A">
        <w:rPr>
          <w:rFonts w:ascii="Calibri" w:hAnsi="Calibri" w:cs="Calibri"/>
          <w:color w:val="auto"/>
          <w:sz w:val="22"/>
          <w:szCs w:val="22"/>
          <w:lang w:val="en-US"/>
        </w:rPr>
        <w:t>that related assets and jobs stay in place in accordance with the terms of the offer letter.</w:t>
      </w:r>
      <w:r w:rsidR="00C56B46" w:rsidRPr="00D2132A">
        <w:rPr>
          <w:rFonts w:ascii="Calibri" w:hAnsi="Calibri" w:cs="Calibri"/>
          <w:color w:val="auto"/>
          <w:sz w:val="22"/>
          <w:szCs w:val="22"/>
          <w:lang w:val="en-US"/>
        </w:rPr>
        <w:t xml:space="preserve"> This will be undertaken by the Chamber monitoring officer.</w:t>
      </w:r>
      <w:r w:rsidR="00A811C0" w:rsidRPr="00D2132A">
        <w:rPr>
          <w:rFonts w:ascii="Calibri" w:hAnsi="Calibri" w:cs="Calibri"/>
          <w:color w:val="auto"/>
          <w:sz w:val="22"/>
          <w:szCs w:val="22"/>
          <w:lang w:val="en-US"/>
        </w:rPr>
        <w:t xml:space="preserve"> Monitoring will be at a level appropriate to the business and the level of grant awarded.</w:t>
      </w:r>
      <w:bookmarkStart w:id="118" w:name="_Toc349307644"/>
      <w:bookmarkStart w:id="119" w:name="_Toc349307793"/>
      <w:bookmarkStart w:id="120" w:name="_Toc349308303"/>
      <w:bookmarkStart w:id="121" w:name="_Toc349308411"/>
      <w:bookmarkStart w:id="122" w:name="_Toc349308504"/>
    </w:p>
    <w:bookmarkEnd w:id="118"/>
    <w:bookmarkEnd w:id="119"/>
    <w:bookmarkEnd w:id="120"/>
    <w:bookmarkEnd w:id="121"/>
    <w:bookmarkEnd w:id="122"/>
    <w:p w14:paraId="350BFA35" w14:textId="77777777" w:rsidR="00C56B46" w:rsidRPr="00D2132A" w:rsidRDefault="00C56B46" w:rsidP="00C2122D">
      <w:pPr>
        <w:pStyle w:val="Bodycopy"/>
        <w:jc w:val="both"/>
        <w:rPr>
          <w:rFonts w:ascii="Calibri" w:hAnsi="Calibri" w:cs="Calibri"/>
          <w:color w:val="auto"/>
          <w:sz w:val="22"/>
          <w:szCs w:val="22"/>
          <w:lang w:val="en-US"/>
        </w:rPr>
      </w:pPr>
    </w:p>
    <w:p w14:paraId="436DC746" w14:textId="405F8EE9" w:rsidR="000011CF" w:rsidRPr="00D2132A" w:rsidRDefault="00C56B46" w:rsidP="00C56B46">
      <w:pPr>
        <w:pStyle w:val="Bodycopy"/>
        <w:jc w:val="both"/>
        <w:rPr>
          <w:rFonts w:ascii="Calibri" w:hAnsi="Calibri" w:cs="Calibri"/>
          <w:color w:val="auto"/>
          <w:sz w:val="22"/>
          <w:szCs w:val="22"/>
          <w:lang w:val="en-US"/>
        </w:rPr>
      </w:pPr>
      <w:r w:rsidRPr="00D2132A">
        <w:rPr>
          <w:rFonts w:ascii="Calibri" w:hAnsi="Calibri" w:cs="Calibri"/>
          <w:color w:val="auto"/>
          <w:sz w:val="22"/>
          <w:szCs w:val="22"/>
          <w:lang w:val="en-US"/>
        </w:rPr>
        <w:t xml:space="preserve">Where it is necessary to request a variation, the monitoring officer will consider and, if acceptable, </w:t>
      </w:r>
      <w:r w:rsidR="000011CF" w:rsidRPr="00D2132A">
        <w:rPr>
          <w:rFonts w:ascii="Calibri" w:hAnsi="Calibri" w:cs="Calibri"/>
          <w:color w:val="auto"/>
          <w:sz w:val="22"/>
          <w:szCs w:val="22"/>
          <w:lang w:val="en-US"/>
        </w:rPr>
        <w:t>give consent to varia</w:t>
      </w:r>
      <w:r w:rsidR="0039557D" w:rsidRPr="00D2132A">
        <w:rPr>
          <w:rFonts w:ascii="Calibri" w:hAnsi="Calibri" w:cs="Calibri"/>
          <w:color w:val="auto"/>
          <w:sz w:val="22"/>
          <w:szCs w:val="22"/>
          <w:lang w:val="en-US"/>
        </w:rPr>
        <w:t>tion</w:t>
      </w:r>
      <w:r w:rsidRPr="00D2132A">
        <w:rPr>
          <w:rFonts w:ascii="Calibri" w:hAnsi="Calibri" w:cs="Calibri"/>
          <w:color w:val="auto"/>
          <w:sz w:val="22"/>
          <w:szCs w:val="22"/>
          <w:lang w:val="en-US"/>
        </w:rPr>
        <w:t>s.</w:t>
      </w:r>
    </w:p>
    <w:p w14:paraId="18FAE17F" w14:textId="77777777" w:rsidR="00C56B46" w:rsidRPr="00D2132A" w:rsidRDefault="00C56B46" w:rsidP="00C56B46">
      <w:pPr>
        <w:pStyle w:val="Bodycopy"/>
        <w:jc w:val="both"/>
        <w:rPr>
          <w:rFonts w:ascii="Calibri" w:hAnsi="Calibri" w:cs="Calibri"/>
          <w:color w:val="auto"/>
          <w:sz w:val="22"/>
          <w:szCs w:val="22"/>
          <w:lang w:val="en-US"/>
        </w:rPr>
      </w:pPr>
    </w:p>
    <w:p w14:paraId="729C44D7" w14:textId="0689ACA9" w:rsidR="00A811C0" w:rsidRPr="00D2132A" w:rsidRDefault="00C56B46" w:rsidP="00C2122D">
      <w:pPr>
        <w:pStyle w:val="Bodycopy"/>
        <w:jc w:val="both"/>
        <w:rPr>
          <w:rFonts w:ascii="Calibri" w:hAnsi="Calibri" w:cs="Calibri"/>
          <w:color w:val="auto"/>
          <w:sz w:val="22"/>
          <w:szCs w:val="22"/>
          <w:lang w:val="en-US"/>
        </w:rPr>
      </w:pPr>
      <w:r w:rsidRPr="00D2132A">
        <w:rPr>
          <w:rFonts w:ascii="Calibri" w:hAnsi="Calibri" w:cs="Calibri"/>
          <w:color w:val="auto"/>
          <w:sz w:val="22"/>
          <w:szCs w:val="22"/>
          <w:lang w:val="en-US"/>
        </w:rPr>
        <w:t>The monitoring officer is also responsible for grant claims. T</w:t>
      </w:r>
      <w:r w:rsidR="000011CF" w:rsidRPr="00D2132A">
        <w:rPr>
          <w:rFonts w:ascii="Calibri" w:hAnsi="Calibri" w:cs="Calibri"/>
          <w:color w:val="auto"/>
          <w:sz w:val="22"/>
          <w:szCs w:val="22"/>
          <w:lang w:val="en-US"/>
        </w:rPr>
        <w:t xml:space="preserve">o safeguard </w:t>
      </w:r>
      <w:r w:rsidR="007C2296" w:rsidRPr="00D2132A">
        <w:rPr>
          <w:rFonts w:ascii="Calibri" w:hAnsi="Calibri" w:cs="Calibri"/>
          <w:color w:val="auto"/>
          <w:sz w:val="22"/>
          <w:szCs w:val="22"/>
          <w:lang w:val="en-US"/>
        </w:rPr>
        <w:t xml:space="preserve">the </w:t>
      </w:r>
      <w:r w:rsidR="00E20D62">
        <w:rPr>
          <w:rFonts w:ascii="Calibri" w:hAnsi="Calibri" w:cs="Calibri"/>
          <w:color w:val="auto"/>
          <w:sz w:val="22"/>
          <w:szCs w:val="22"/>
          <w:lang w:val="en-US"/>
        </w:rPr>
        <w:t>UK SPF</w:t>
      </w:r>
      <w:r w:rsidR="002751C9" w:rsidRPr="00D2132A">
        <w:rPr>
          <w:rFonts w:ascii="Calibri" w:hAnsi="Calibri" w:cs="Calibri"/>
          <w:color w:val="auto"/>
          <w:sz w:val="22"/>
          <w:szCs w:val="22"/>
          <w:lang w:val="en-US"/>
        </w:rPr>
        <w:t xml:space="preserve"> Business Grant </w:t>
      </w:r>
      <w:r w:rsidR="007C2296" w:rsidRPr="00D2132A">
        <w:rPr>
          <w:rFonts w:ascii="Calibri" w:hAnsi="Calibri" w:cs="Calibri"/>
          <w:color w:val="auto"/>
          <w:sz w:val="22"/>
          <w:szCs w:val="22"/>
          <w:lang w:val="en-US"/>
        </w:rPr>
        <w:t>and Chamber</w:t>
      </w:r>
      <w:r w:rsidR="005E6E49" w:rsidRPr="00D2132A">
        <w:rPr>
          <w:rFonts w:ascii="Calibri" w:hAnsi="Calibri" w:cs="Calibri"/>
          <w:color w:val="auto"/>
          <w:sz w:val="22"/>
          <w:szCs w:val="22"/>
          <w:lang w:val="en-US"/>
        </w:rPr>
        <w:t>’s</w:t>
      </w:r>
      <w:r w:rsidR="000011CF" w:rsidRPr="00D2132A">
        <w:rPr>
          <w:rFonts w:ascii="Calibri" w:hAnsi="Calibri" w:cs="Calibri"/>
          <w:color w:val="auto"/>
          <w:sz w:val="22"/>
          <w:szCs w:val="22"/>
          <w:lang w:val="en-US"/>
        </w:rPr>
        <w:t xml:space="preserve"> position where necessary</w:t>
      </w:r>
      <w:r w:rsidR="0090413F"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 xml:space="preserve">they may </w:t>
      </w:r>
      <w:r w:rsidR="000011CF" w:rsidRPr="00D2132A">
        <w:rPr>
          <w:rFonts w:ascii="Calibri" w:hAnsi="Calibri" w:cs="Calibri"/>
          <w:color w:val="auto"/>
          <w:sz w:val="22"/>
          <w:szCs w:val="22"/>
          <w:lang w:val="en-US"/>
        </w:rPr>
        <w:t>reduc</w:t>
      </w:r>
      <w:r w:rsidRPr="00D2132A">
        <w:rPr>
          <w:rFonts w:ascii="Calibri" w:hAnsi="Calibri" w:cs="Calibri"/>
          <w:color w:val="auto"/>
          <w:sz w:val="22"/>
          <w:szCs w:val="22"/>
          <w:lang w:val="en-US"/>
        </w:rPr>
        <w:t>e</w:t>
      </w:r>
      <w:r w:rsidR="000011CF" w:rsidRPr="00D2132A">
        <w:rPr>
          <w:rFonts w:ascii="Calibri" w:hAnsi="Calibri" w:cs="Calibri"/>
          <w:color w:val="auto"/>
          <w:sz w:val="22"/>
          <w:szCs w:val="22"/>
          <w:lang w:val="en-US"/>
        </w:rPr>
        <w:t>, delay or withhold</w:t>
      </w:r>
      <w:r w:rsidRPr="00D2132A">
        <w:rPr>
          <w:rFonts w:ascii="Calibri" w:hAnsi="Calibri" w:cs="Calibri"/>
          <w:color w:val="auto"/>
          <w:sz w:val="22"/>
          <w:szCs w:val="22"/>
          <w:lang w:val="en-US"/>
        </w:rPr>
        <w:t xml:space="preserve"> </w:t>
      </w:r>
      <w:r w:rsidR="000011CF" w:rsidRPr="00D2132A">
        <w:rPr>
          <w:rFonts w:ascii="Calibri" w:hAnsi="Calibri" w:cs="Calibri"/>
          <w:color w:val="auto"/>
          <w:sz w:val="22"/>
          <w:szCs w:val="22"/>
          <w:lang w:val="en-US"/>
        </w:rPr>
        <w:t>payment or requir</w:t>
      </w:r>
      <w:r w:rsidRPr="00D2132A">
        <w:rPr>
          <w:rFonts w:ascii="Calibri" w:hAnsi="Calibri" w:cs="Calibri"/>
          <w:color w:val="auto"/>
          <w:sz w:val="22"/>
          <w:szCs w:val="22"/>
          <w:lang w:val="en-US"/>
        </w:rPr>
        <w:t>e</w:t>
      </w:r>
      <w:r w:rsidR="000011CF" w:rsidRPr="00D2132A">
        <w:rPr>
          <w:rFonts w:ascii="Calibri" w:hAnsi="Calibri" w:cs="Calibri"/>
          <w:color w:val="auto"/>
          <w:sz w:val="22"/>
          <w:szCs w:val="22"/>
          <w:lang w:val="en-US"/>
        </w:rPr>
        <w:t xml:space="preserve"> the</w:t>
      </w:r>
      <w:r w:rsidR="0090413F" w:rsidRPr="00D2132A">
        <w:rPr>
          <w:rFonts w:ascii="Calibri" w:hAnsi="Calibri" w:cs="Calibri"/>
          <w:color w:val="auto"/>
          <w:sz w:val="22"/>
          <w:szCs w:val="22"/>
          <w:lang w:val="en-US"/>
        </w:rPr>
        <w:t xml:space="preserve"> </w:t>
      </w:r>
      <w:r w:rsidR="000011CF" w:rsidRPr="00D2132A">
        <w:rPr>
          <w:rFonts w:ascii="Calibri" w:hAnsi="Calibri" w:cs="Calibri"/>
          <w:color w:val="auto"/>
          <w:sz w:val="22"/>
          <w:szCs w:val="22"/>
          <w:lang w:val="en-US"/>
        </w:rPr>
        <w:t xml:space="preserve">repayment of part or all of the </w:t>
      </w:r>
      <w:r w:rsidR="0039557D" w:rsidRPr="00D2132A">
        <w:rPr>
          <w:rFonts w:ascii="Calibri" w:hAnsi="Calibri" w:cs="Calibri"/>
          <w:color w:val="auto"/>
          <w:sz w:val="22"/>
          <w:szCs w:val="22"/>
          <w:lang w:val="en-US"/>
        </w:rPr>
        <w:t>assistance already provided</w:t>
      </w:r>
      <w:r w:rsidRPr="00D2132A">
        <w:rPr>
          <w:rFonts w:ascii="Calibri" w:hAnsi="Calibri" w:cs="Calibri"/>
          <w:color w:val="auto"/>
          <w:sz w:val="22"/>
          <w:szCs w:val="22"/>
          <w:lang w:val="en-US"/>
        </w:rPr>
        <w:t>.</w:t>
      </w:r>
    </w:p>
    <w:p w14:paraId="1C73E53B" w14:textId="1157762C" w:rsidR="000011CF" w:rsidRPr="00D2132A" w:rsidRDefault="00A2250E" w:rsidP="00B439E3">
      <w:pPr>
        <w:pStyle w:val="TOC-Sub"/>
        <w:outlineLvl w:val="1"/>
        <w:rPr>
          <w:color w:val="auto"/>
        </w:rPr>
      </w:pPr>
      <w:bookmarkStart w:id="123" w:name="_Toc349307645"/>
      <w:bookmarkStart w:id="124" w:name="_Toc349307794"/>
      <w:bookmarkStart w:id="125" w:name="_Toc349308304"/>
      <w:bookmarkStart w:id="126" w:name="_Toc349308412"/>
      <w:bookmarkStart w:id="127" w:name="_Toc349308505"/>
      <w:bookmarkStart w:id="128" w:name="_Toc152159684"/>
      <w:bookmarkStart w:id="129" w:name="_Toc157694462"/>
      <w:r w:rsidRPr="00D2132A">
        <w:rPr>
          <w:color w:val="auto"/>
        </w:rPr>
        <w:t>7</w:t>
      </w:r>
      <w:r w:rsidR="00C56B46" w:rsidRPr="00D2132A">
        <w:rPr>
          <w:color w:val="auto"/>
        </w:rPr>
        <w:t>.2</w:t>
      </w:r>
      <w:r w:rsidR="00C56B46" w:rsidRPr="00D2132A">
        <w:rPr>
          <w:color w:val="auto"/>
        </w:rPr>
        <w:tab/>
        <w:t>C</w:t>
      </w:r>
      <w:r w:rsidR="000011CF" w:rsidRPr="00D2132A">
        <w:rPr>
          <w:color w:val="auto"/>
        </w:rPr>
        <w:t xml:space="preserve">laims for </w:t>
      </w:r>
      <w:r w:rsidR="00C56B46" w:rsidRPr="00D2132A">
        <w:rPr>
          <w:color w:val="auto"/>
        </w:rPr>
        <w:t>P</w:t>
      </w:r>
      <w:r w:rsidR="000011CF" w:rsidRPr="00D2132A">
        <w:rPr>
          <w:color w:val="auto"/>
        </w:rPr>
        <w:t>ayment</w:t>
      </w:r>
      <w:bookmarkEnd w:id="123"/>
      <w:bookmarkEnd w:id="124"/>
      <w:bookmarkEnd w:id="125"/>
      <w:bookmarkEnd w:id="126"/>
      <w:bookmarkEnd w:id="127"/>
      <w:bookmarkEnd w:id="128"/>
      <w:bookmarkEnd w:id="129"/>
    </w:p>
    <w:p w14:paraId="3B3327E5" w14:textId="2E498070" w:rsidR="00F434A8" w:rsidRPr="00D627C0" w:rsidRDefault="00046DB3" w:rsidP="00F434A8">
      <w:pPr>
        <w:pStyle w:val="Bodycopy"/>
        <w:jc w:val="both"/>
        <w:rPr>
          <w:rFonts w:ascii="Calibri" w:hAnsi="Calibri" w:cs="Calibri"/>
          <w:color w:val="auto"/>
          <w:sz w:val="22"/>
          <w:szCs w:val="22"/>
        </w:rPr>
      </w:pPr>
      <w:r w:rsidRPr="00D2132A">
        <w:rPr>
          <w:rFonts w:ascii="Calibri" w:hAnsi="Calibri" w:cs="Calibri"/>
          <w:color w:val="auto"/>
          <w:sz w:val="22"/>
          <w:szCs w:val="22"/>
        </w:rPr>
        <w:t>Claims must compl</w:t>
      </w:r>
      <w:r w:rsidR="002E6073" w:rsidRPr="00D2132A">
        <w:rPr>
          <w:rFonts w:ascii="Calibri" w:hAnsi="Calibri" w:cs="Calibri"/>
          <w:color w:val="auto"/>
          <w:sz w:val="22"/>
          <w:szCs w:val="22"/>
        </w:rPr>
        <w:t>y</w:t>
      </w:r>
      <w:r w:rsidRPr="00D2132A">
        <w:rPr>
          <w:rFonts w:ascii="Calibri" w:hAnsi="Calibri" w:cs="Calibri"/>
          <w:color w:val="auto"/>
          <w:sz w:val="22"/>
          <w:szCs w:val="22"/>
        </w:rPr>
        <w:t xml:space="preserve"> with all monitoring information and progress reporting in full</w:t>
      </w:r>
      <w:r w:rsidR="002E6073" w:rsidRPr="00D2132A">
        <w:rPr>
          <w:rFonts w:ascii="Calibri" w:hAnsi="Calibri" w:cs="Calibri"/>
          <w:color w:val="auto"/>
          <w:sz w:val="22"/>
          <w:szCs w:val="22"/>
        </w:rPr>
        <w:t xml:space="preserve"> as set out in the grant offer letter. This may also include evidence of compliance with specific offer conditions. </w:t>
      </w:r>
      <w:bookmarkStart w:id="130" w:name="_Toc349307646"/>
      <w:bookmarkStart w:id="131" w:name="_Toc349307795"/>
      <w:bookmarkStart w:id="132" w:name="_Toc349308305"/>
      <w:bookmarkStart w:id="133" w:name="_Toc349308413"/>
      <w:bookmarkStart w:id="134" w:name="_Toc349308506"/>
      <w:r w:rsidR="002E6073" w:rsidRPr="00D2132A">
        <w:rPr>
          <w:rFonts w:ascii="Calibri" w:hAnsi="Calibri" w:cs="Calibri"/>
          <w:color w:val="auto"/>
          <w:sz w:val="22"/>
          <w:szCs w:val="22"/>
          <w:lang w:val="en-US"/>
        </w:rPr>
        <w:t xml:space="preserve">The final date for claims to the scheme </w:t>
      </w:r>
      <w:r w:rsidR="002E6073" w:rsidRPr="00D627C0">
        <w:rPr>
          <w:rFonts w:ascii="Calibri" w:hAnsi="Calibri" w:cs="Calibri"/>
          <w:color w:val="auto"/>
          <w:sz w:val="22"/>
          <w:szCs w:val="22"/>
          <w:lang w:val="en-US"/>
        </w:rPr>
        <w:t xml:space="preserve">is </w:t>
      </w:r>
      <w:r w:rsidR="003168CE" w:rsidRPr="00D627C0">
        <w:rPr>
          <w:rFonts w:ascii="Calibri" w:hAnsi="Calibri" w:cs="Calibri"/>
          <w:color w:val="auto"/>
          <w:sz w:val="22"/>
          <w:szCs w:val="22"/>
          <w:lang w:val="en-US"/>
        </w:rPr>
        <w:t>31.1.26</w:t>
      </w:r>
      <w:r w:rsidR="002E6073" w:rsidRPr="00D627C0">
        <w:rPr>
          <w:rFonts w:ascii="Calibri" w:hAnsi="Calibri" w:cs="Calibri"/>
          <w:color w:val="auto"/>
          <w:sz w:val="22"/>
          <w:szCs w:val="22"/>
          <w:lang w:val="en-US"/>
        </w:rPr>
        <w:t>.</w:t>
      </w:r>
    </w:p>
    <w:p w14:paraId="7B552CEC" w14:textId="77777777" w:rsidR="00F434A8" w:rsidRPr="00D627C0" w:rsidRDefault="00F434A8" w:rsidP="00F434A8">
      <w:pPr>
        <w:pStyle w:val="Bodycopy"/>
        <w:jc w:val="both"/>
        <w:rPr>
          <w:rFonts w:ascii="Calibri" w:hAnsi="Calibri" w:cs="Calibri"/>
          <w:color w:val="auto"/>
          <w:sz w:val="22"/>
          <w:szCs w:val="22"/>
          <w:lang w:val="en-US"/>
        </w:rPr>
      </w:pPr>
    </w:p>
    <w:p w14:paraId="348E3F8E" w14:textId="75C6C94D" w:rsidR="00F434A8" w:rsidRPr="00D627C0" w:rsidRDefault="002E6073" w:rsidP="00F434A8">
      <w:pPr>
        <w:pStyle w:val="Bodycopy"/>
        <w:jc w:val="both"/>
        <w:rPr>
          <w:rFonts w:ascii="Calibri" w:hAnsi="Calibri" w:cs="Calibri"/>
          <w:color w:val="auto"/>
          <w:sz w:val="22"/>
          <w:szCs w:val="22"/>
          <w:lang w:val="en-US"/>
        </w:rPr>
      </w:pPr>
      <w:r w:rsidRPr="00D627C0">
        <w:rPr>
          <w:rFonts w:ascii="Calibri" w:hAnsi="Calibri" w:cs="Calibri"/>
          <w:color w:val="auto"/>
          <w:sz w:val="22"/>
          <w:szCs w:val="22"/>
          <w:lang w:val="en-US"/>
        </w:rPr>
        <w:lastRenderedPageBreak/>
        <w:t xml:space="preserve">A specific </w:t>
      </w:r>
      <w:r w:rsidR="00F434A8" w:rsidRPr="00D627C0">
        <w:rPr>
          <w:rFonts w:ascii="Calibri" w:hAnsi="Calibri" w:cs="Calibri"/>
          <w:color w:val="auto"/>
          <w:sz w:val="22"/>
          <w:szCs w:val="22"/>
          <w:lang w:val="en-US"/>
        </w:rPr>
        <w:t xml:space="preserve">No Obligation to Pay Date </w:t>
      </w:r>
      <w:r w:rsidR="004E033F" w:rsidRPr="00D627C0">
        <w:rPr>
          <w:rFonts w:ascii="Calibri" w:hAnsi="Calibri" w:cs="Calibri"/>
          <w:color w:val="auto"/>
          <w:sz w:val="22"/>
          <w:szCs w:val="22"/>
          <w:lang w:val="en-US"/>
        </w:rPr>
        <w:t>(NOPD) w</w:t>
      </w:r>
      <w:r w:rsidR="00F434A8" w:rsidRPr="00D627C0">
        <w:rPr>
          <w:rFonts w:ascii="Calibri" w:hAnsi="Calibri" w:cs="Calibri"/>
          <w:color w:val="auto"/>
          <w:sz w:val="22"/>
          <w:szCs w:val="22"/>
          <w:lang w:val="en-US"/>
        </w:rPr>
        <w:t>ill be specified in every offer letter and is the deadline after which the Chamber is no longer under any contractual obligation to make payments</w:t>
      </w:r>
      <w:r w:rsidRPr="00D627C0">
        <w:rPr>
          <w:rFonts w:ascii="Calibri" w:hAnsi="Calibri" w:cs="Calibri"/>
          <w:color w:val="auto"/>
          <w:sz w:val="22"/>
          <w:szCs w:val="22"/>
          <w:lang w:val="en-US"/>
        </w:rPr>
        <w:t xml:space="preserve"> to that applicant</w:t>
      </w:r>
      <w:r w:rsidR="00F434A8" w:rsidRPr="00D627C0">
        <w:rPr>
          <w:rFonts w:ascii="Calibri" w:hAnsi="Calibri" w:cs="Calibri"/>
          <w:color w:val="auto"/>
          <w:sz w:val="22"/>
          <w:szCs w:val="22"/>
          <w:lang w:val="en-US"/>
        </w:rPr>
        <w:t>. This will not be later than</w:t>
      </w:r>
      <w:r w:rsidRPr="00D627C0">
        <w:rPr>
          <w:rFonts w:ascii="Calibri" w:hAnsi="Calibri" w:cs="Calibri"/>
          <w:color w:val="auto"/>
          <w:sz w:val="22"/>
          <w:szCs w:val="22"/>
          <w:lang w:val="en-US"/>
        </w:rPr>
        <w:t xml:space="preserve"> </w:t>
      </w:r>
      <w:r w:rsidR="007A08DD" w:rsidRPr="00D627C0">
        <w:rPr>
          <w:rFonts w:ascii="Calibri" w:hAnsi="Calibri" w:cs="Calibri"/>
          <w:color w:val="auto"/>
          <w:sz w:val="22"/>
          <w:szCs w:val="22"/>
          <w:lang w:val="en-US"/>
        </w:rPr>
        <w:t>31.1.26</w:t>
      </w:r>
      <w:r w:rsidRPr="00D627C0">
        <w:rPr>
          <w:rFonts w:ascii="Calibri" w:hAnsi="Calibri" w:cs="Calibri"/>
          <w:color w:val="auto"/>
          <w:sz w:val="22"/>
          <w:szCs w:val="22"/>
          <w:lang w:val="en-US"/>
        </w:rPr>
        <w:t xml:space="preserve">. </w:t>
      </w:r>
      <w:r w:rsidR="00F434A8" w:rsidRPr="00D627C0">
        <w:rPr>
          <w:rFonts w:ascii="Calibri" w:hAnsi="Calibri" w:cs="Calibri"/>
          <w:color w:val="auto"/>
          <w:sz w:val="22"/>
          <w:szCs w:val="22"/>
          <w:lang w:val="en-US"/>
        </w:rPr>
        <w:t xml:space="preserve"> </w:t>
      </w:r>
    </w:p>
    <w:p w14:paraId="155B4EE6" w14:textId="77777777" w:rsidR="002E6073" w:rsidRPr="00D627C0" w:rsidRDefault="002E6073" w:rsidP="00F434A8">
      <w:pPr>
        <w:pStyle w:val="Bodycopy"/>
        <w:jc w:val="both"/>
        <w:rPr>
          <w:rFonts w:ascii="Calibri" w:hAnsi="Calibri" w:cs="Calibri"/>
          <w:color w:val="auto"/>
          <w:sz w:val="22"/>
          <w:szCs w:val="22"/>
          <w:lang w:val="en-US"/>
        </w:rPr>
      </w:pPr>
    </w:p>
    <w:p w14:paraId="5028E960" w14:textId="32F4406C" w:rsidR="00F434A8" w:rsidRPr="00D2132A" w:rsidRDefault="00F434A8" w:rsidP="00F434A8">
      <w:pPr>
        <w:pStyle w:val="Bodycopy"/>
        <w:jc w:val="both"/>
        <w:rPr>
          <w:rFonts w:ascii="Calibri" w:hAnsi="Calibri" w:cs="Calibri"/>
          <w:color w:val="auto"/>
          <w:sz w:val="22"/>
          <w:szCs w:val="22"/>
          <w:lang w:val="en-US"/>
        </w:rPr>
      </w:pPr>
      <w:r w:rsidRPr="00D627C0">
        <w:rPr>
          <w:rFonts w:ascii="Calibri" w:hAnsi="Calibri" w:cs="Calibri"/>
          <w:color w:val="auto"/>
          <w:sz w:val="22"/>
          <w:szCs w:val="22"/>
          <w:lang w:val="en-US"/>
        </w:rPr>
        <w:t xml:space="preserve">If a business claims an installment before the NOPD, it is entitled to receive that payment, provided it satisfies the conditions set out in the offer letter, even if the time taken to process the claim means that payment is not made until after the NOPD date </w:t>
      </w:r>
      <w:r w:rsidR="004D1D1A" w:rsidRPr="00D627C0">
        <w:rPr>
          <w:rFonts w:ascii="Calibri" w:hAnsi="Calibri" w:cs="Calibri"/>
          <w:color w:val="auto"/>
          <w:sz w:val="22"/>
          <w:szCs w:val="22"/>
          <w:lang w:val="en-US"/>
        </w:rPr>
        <w:t>provided this is no later than 31st January 2026.</w:t>
      </w:r>
    </w:p>
    <w:p w14:paraId="0FB6B982" w14:textId="77777777" w:rsidR="002E6073" w:rsidRPr="00D2132A" w:rsidRDefault="002E6073" w:rsidP="00F434A8">
      <w:pPr>
        <w:pStyle w:val="Bodycopy"/>
        <w:jc w:val="both"/>
        <w:rPr>
          <w:rFonts w:ascii="Calibri" w:hAnsi="Calibri" w:cs="Calibri"/>
          <w:color w:val="auto"/>
          <w:sz w:val="22"/>
          <w:szCs w:val="22"/>
          <w:lang w:val="en-US"/>
        </w:rPr>
      </w:pPr>
    </w:p>
    <w:p w14:paraId="5E7957CE" w14:textId="435AA803" w:rsidR="002E6073" w:rsidRPr="00D2132A" w:rsidRDefault="002E6073" w:rsidP="002E6073">
      <w:pPr>
        <w:pStyle w:val="Bodycopy"/>
        <w:jc w:val="both"/>
        <w:rPr>
          <w:rFonts w:ascii="Calibri" w:hAnsi="Calibri" w:cs="Calibri"/>
          <w:color w:val="auto"/>
          <w:sz w:val="22"/>
          <w:szCs w:val="22"/>
        </w:rPr>
      </w:pPr>
      <w:r w:rsidRPr="00D2132A">
        <w:rPr>
          <w:rFonts w:ascii="Calibri" w:hAnsi="Calibri" w:cs="Calibri"/>
          <w:color w:val="auto"/>
          <w:sz w:val="22"/>
          <w:szCs w:val="22"/>
        </w:rPr>
        <w:t xml:space="preserve">There is no obligation on the Chamber to remind </w:t>
      </w:r>
      <w:r w:rsidR="00DA3D5C" w:rsidRPr="00D2132A">
        <w:rPr>
          <w:rFonts w:ascii="Calibri" w:hAnsi="Calibri" w:cs="Calibri"/>
          <w:color w:val="auto"/>
          <w:sz w:val="22"/>
          <w:szCs w:val="22"/>
        </w:rPr>
        <w:t xml:space="preserve">beneficiaries </w:t>
      </w:r>
      <w:r w:rsidRPr="00D2132A">
        <w:rPr>
          <w:rFonts w:ascii="Calibri" w:hAnsi="Calibri" w:cs="Calibri"/>
          <w:color w:val="auto"/>
          <w:sz w:val="22"/>
          <w:szCs w:val="22"/>
        </w:rPr>
        <w:t>about or chase claims for payment.</w:t>
      </w:r>
    </w:p>
    <w:p w14:paraId="6285B3FF" w14:textId="0BA43C29" w:rsidR="000011CF" w:rsidRPr="00D2132A" w:rsidRDefault="00A2250E" w:rsidP="00B439E3">
      <w:pPr>
        <w:pStyle w:val="TOC-Sub"/>
        <w:outlineLvl w:val="1"/>
        <w:rPr>
          <w:color w:val="auto"/>
          <w:lang w:val="en-US"/>
        </w:rPr>
      </w:pPr>
      <w:bookmarkStart w:id="135" w:name="_Toc349307647"/>
      <w:bookmarkStart w:id="136" w:name="_Toc349307796"/>
      <w:bookmarkStart w:id="137" w:name="_Toc349308306"/>
      <w:bookmarkStart w:id="138" w:name="_Toc349308414"/>
      <w:bookmarkStart w:id="139" w:name="_Toc349308507"/>
      <w:bookmarkStart w:id="140" w:name="_Toc152159685"/>
      <w:bookmarkStart w:id="141" w:name="_Toc157694463"/>
      <w:bookmarkEnd w:id="130"/>
      <w:bookmarkEnd w:id="131"/>
      <w:bookmarkEnd w:id="132"/>
      <w:bookmarkEnd w:id="133"/>
      <w:bookmarkEnd w:id="134"/>
      <w:r w:rsidRPr="00D2132A">
        <w:rPr>
          <w:color w:val="auto"/>
        </w:rPr>
        <w:t>7</w:t>
      </w:r>
      <w:r w:rsidR="00F434A8" w:rsidRPr="00D2132A">
        <w:rPr>
          <w:color w:val="auto"/>
        </w:rPr>
        <w:t>.3</w:t>
      </w:r>
      <w:r w:rsidR="00F434A8" w:rsidRPr="00D2132A">
        <w:rPr>
          <w:color w:val="auto"/>
        </w:rPr>
        <w:tab/>
      </w:r>
      <w:r w:rsidR="000011CF" w:rsidRPr="00D2132A">
        <w:rPr>
          <w:color w:val="auto"/>
        </w:rPr>
        <w:t xml:space="preserve">Post </w:t>
      </w:r>
      <w:r w:rsidR="00F434A8" w:rsidRPr="00D2132A">
        <w:rPr>
          <w:color w:val="auto"/>
        </w:rPr>
        <w:t>C</w:t>
      </w:r>
      <w:r w:rsidR="000011CF" w:rsidRPr="00D2132A">
        <w:rPr>
          <w:color w:val="auto"/>
        </w:rPr>
        <w:t xml:space="preserve">ompletion </w:t>
      </w:r>
      <w:r w:rsidR="00F434A8" w:rsidRPr="00D2132A">
        <w:rPr>
          <w:color w:val="auto"/>
        </w:rPr>
        <w:t>M</w:t>
      </w:r>
      <w:r w:rsidR="000011CF" w:rsidRPr="00D2132A">
        <w:rPr>
          <w:color w:val="auto"/>
        </w:rPr>
        <w:t>onitoring</w:t>
      </w:r>
      <w:bookmarkEnd w:id="135"/>
      <w:bookmarkEnd w:id="136"/>
      <w:bookmarkEnd w:id="137"/>
      <w:bookmarkEnd w:id="138"/>
      <w:bookmarkEnd w:id="139"/>
      <w:bookmarkEnd w:id="140"/>
      <w:bookmarkEnd w:id="141"/>
    </w:p>
    <w:p w14:paraId="5818046A" w14:textId="114FB3D3" w:rsidR="00376620" w:rsidRPr="00D627C0" w:rsidRDefault="00F434A8" w:rsidP="00C2122D">
      <w:pPr>
        <w:pStyle w:val="Bodycopy"/>
        <w:jc w:val="both"/>
        <w:rPr>
          <w:rFonts w:ascii="Calibri" w:hAnsi="Calibri" w:cs="Calibri"/>
          <w:color w:val="auto"/>
          <w:sz w:val="22"/>
          <w:szCs w:val="22"/>
        </w:rPr>
      </w:pPr>
      <w:r w:rsidRPr="00D2132A">
        <w:rPr>
          <w:rFonts w:ascii="Calibri" w:hAnsi="Calibri" w:cs="Calibri"/>
          <w:color w:val="auto"/>
          <w:sz w:val="22"/>
          <w:szCs w:val="22"/>
        </w:rPr>
        <w:t>Monitoring will continue a</w:t>
      </w:r>
      <w:r w:rsidR="000011CF" w:rsidRPr="00D2132A">
        <w:rPr>
          <w:rFonts w:ascii="Calibri" w:hAnsi="Calibri" w:cs="Calibri"/>
          <w:color w:val="auto"/>
          <w:sz w:val="22"/>
          <w:szCs w:val="22"/>
        </w:rPr>
        <w:t>fter completion of the project</w:t>
      </w:r>
      <w:r w:rsidRPr="00D2132A">
        <w:rPr>
          <w:rFonts w:ascii="Calibri" w:hAnsi="Calibri" w:cs="Calibri"/>
          <w:color w:val="auto"/>
          <w:sz w:val="22"/>
          <w:szCs w:val="22"/>
        </w:rPr>
        <w:t xml:space="preserve"> un</w:t>
      </w:r>
      <w:r w:rsidRPr="00D627C0">
        <w:rPr>
          <w:rFonts w:ascii="Calibri" w:hAnsi="Calibri" w:cs="Calibri"/>
          <w:color w:val="auto"/>
          <w:sz w:val="22"/>
          <w:szCs w:val="22"/>
        </w:rPr>
        <w:t>til</w:t>
      </w:r>
      <w:r w:rsidR="005B5086" w:rsidRPr="00D627C0">
        <w:rPr>
          <w:rFonts w:ascii="Calibri" w:hAnsi="Calibri" w:cs="Calibri"/>
          <w:color w:val="auto"/>
          <w:sz w:val="22"/>
          <w:szCs w:val="22"/>
        </w:rPr>
        <w:t xml:space="preserve"> </w:t>
      </w:r>
      <w:r w:rsidR="0030461F" w:rsidRPr="00D627C0">
        <w:rPr>
          <w:rFonts w:ascii="Calibri" w:hAnsi="Calibri" w:cs="Calibri"/>
          <w:color w:val="auto"/>
          <w:sz w:val="22"/>
          <w:szCs w:val="22"/>
        </w:rPr>
        <w:t>28</w:t>
      </w:r>
      <w:r w:rsidR="005B5086" w:rsidRPr="00D627C0">
        <w:rPr>
          <w:rFonts w:ascii="Calibri" w:hAnsi="Calibri" w:cs="Calibri"/>
          <w:color w:val="auto"/>
          <w:sz w:val="22"/>
          <w:szCs w:val="22"/>
          <w:vertAlign w:val="superscript"/>
        </w:rPr>
        <w:t>th</w:t>
      </w:r>
      <w:r w:rsidR="005B5086" w:rsidRPr="00D627C0">
        <w:rPr>
          <w:rFonts w:ascii="Calibri" w:hAnsi="Calibri" w:cs="Calibri"/>
          <w:color w:val="auto"/>
          <w:sz w:val="22"/>
          <w:szCs w:val="22"/>
        </w:rPr>
        <w:t xml:space="preserve"> </w:t>
      </w:r>
      <w:r w:rsidR="0030461F" w:rsidRPr="00D627C0">
        <w:rPr>
          <w:rFonts w:ascii="Calibri" w:hAnsi="Calibri" w:cs="Calibri"/>
          <w:color w:val="auto"/>
          <w:sz w:val="22"/>
          <w:szCs w:val="22"/>
        </w:rPr>
        <w:t>February</w:t>
      </w:r>
      <w:r w:rsidR="005B5086" w:rsidRPr="00D627C0">
        <w:rPr>
          <w:rFonts w:ascii="Calibri" w:hAnsi="Calibri" w:cs="Calibri"/>
          <w:color w:val="auto"/>
          <w:sz w:val="22"/>
          <w:szCs w:val="22"/>
        </w:rPr>
        <w:t xml:space="preserve"> 202</w:t>
      </w:r>
      <w:r w:rsidR="0030461F" w:rsidRPr="00D627C0">
        <w:rPr>
          <w:rFonts w:ascii="Calibri" w:hAnsi="Calibri" w:cs="Calibri"/>
          <w:color w:val="auto"/>
          <w:sz w:val="22"/>
          <w:szCs w:val="22"/>
        </w:rPr>
        <w:t>7</w:t>
      </w:r>
      <w:r w:rsidR="000011CF" w:rsidRPr="00D627C0">
        <w:rPr>
          <w:rFonts w:ascii="Calibri" w:hAnsi="Calibri" w:cs="Calibri"/>
          <w:color w:val="auto"/>
          <w:sz w:val="22"/>
          <w:szCs w:val="22"/>
        </w:rPr>
        <w:t xml:space="preserve">. </w:t>
      </w:r>
      <w:bookmarkStart w:id="142" w:name="_Toc349307648"/>
      <w:bookmarkStart w:id="143" w:name="_Toc349307797"/>
      <w:bookmarkStart w:id="144" w:name="_Toc349308307"/>
      <w:bookmarkStart w:id="145" w:name="_Toc349308415"/>
      <w:bookmarkStart w:id="146" w:name="_Toc349308508"/>
    </w:p>
    <w:p w14:paraId="392BF4FB" w14:textId="63097BCA" w:rsidR="000011CF" w:rsidRPr="00D627C0" w:rsidRDefault="00A2250E" w:rsidP="00B439E3">
      <w:pPr>
        <w:pStyle w:val="TOC-Sub"/>
        <w:outlineLvl w:val="1"/>
        <w:rPr>
          <w:color w:val="auto"/>
        </w:rPr>
      </w:pPr>
      <w:bookmarkStart w:id="147" w:name="_Toc9585343"/>
      <w:bookmarkStart w:id="148" w:name="_Toc152159686"/>
      <w:bookmarkStart w:id="149" w:name="_Toc157694464"/>
      <w:bookmarkEnd w:id="142"/>
      <w:bookmarkEnd w:id="143"/>
      <w:bookmarkEnd w:id="144"/>
      <w:bookmarkEnd w:id="145"/>
      <w:bookmarkEnd w:id="146"/>
      <w:r w:rsidRPr="00D627C0">
        <w:rPr>
          <w:color w:val="auto"/>
        </w:rPr>
        <w:t>7</w:t>
      </w:r>
      <w:r w:rsidR="00F434A8" w:rsidRPr="00D627C0">
        <w:rPr>
          <w:color w:val="auto"/>
        </w:rPr>
        <w:t>.4</w:t>
      </w:r>
      <w:r w:rsidR="00F434A8" w:rsidRPr="00D627C0">
        <w:rPr>
          <w:color w:val="auto"/>
        </w:rPr>
        <w:tab/>
        <w:t>C</w:t>
      </w:r>
      <w:r w:rsidR="000011CF" w:rsidRPr="00D627C0">
        <w:rPr>
          <w:color w:val="auto"/>
        </w:rPr>
        <w:t xml:space="preserve">hanges in </w:t>
      </w:r>
      <w:r w:rsidR="00F434A8" w:rsidRPr="00D627C0">
        <w:rPr>
          <w:color w:val="auto"/>
        </w:rPr>
        <w:t>P</w:t>
      </w:r>
      <w:r w:rsidR="000011CF" w:rsidRPr="00D627C0">
        <w:rPr>
          <w:color w:val="auto"/>
        </w:rPr>
        <w:t>rojects</w:t>
      </w:r>
      <w:bookmarkEnd w:id="147"/>
      <w:r w:rsidR="0062071A" w:rsidRPr="00D627C0">
        <w:rPr>
          <w:color w:val="auto"/>
        </w:rPr>
        <w:t xml:space="preserve"> and Clawback</w:t>
      </w:r>
      <w:bookmarkEnd w:id="148"/>
      <w:bookmarkEnd w:id="149"/>
    </w:p>
    <w:p w14:paraId="47083E3D" w14:textId="4255A611" w:rsidR="000011CF" w:rsidRPr="00D627C0" w:rsidRDefault="001066FF" w:rsidP="00C2122D">
      <w:pPr>
        <w:pStyle w:val="Bodycopy"/>
        <w:jc w:val="both"/>
        <w:rPr>
          <w:rFonts w:ascii="Calibri" w:hAnsi="Calibri" w:cs="Calibri"/>
          <w:color w:val="auto"/>
          <w:sz w:val="22"/>
          <w:szCs w:val="22"/>
          <w:lang w:val="en-US"/>
        </w:rPr>
      </w:pPr>
      <w:r w:rsidRPr="00D627C0">
        <w:rPr>
          <w:rFonts w:ascii="Calibri" w:hAnsi="Calibri" w:cs="Calibri"/>
          <w:color w:val="auto"/>
          <w:sz w:val="22"/>
          <w:szCs w:val="22"/>
          <w:lang w:val="en-US"/>
        </w:rPr>
        <w:t>Of</w:t>
      </w:r>
      <w:r w:rsidR="000011CF" w:rsidRPr="00D627C0">
        <w:rPr>
          <w:rFonts w:ascii="Calibri" w:hAnsi="Calibri" w:cs="Calibri"/>
          <w:color w:val="auto"/>
          <w:sz w:val="22"/>
          <w:szCs w:val="22"/>
          <w:lang w:val="en-US"/>
        </w:rPr>
        <w:t xml:space="preserve">fer letters </w:t>
      </w:r>
      <w:r w:rsidRPr="00D627C0">
        <w:rPr>
          <w:rFonts w:ascii="Calibri" w:hAnsi="Calibri" w:cs="Calibri"/>
          <w:color w:val="auto"/>
          <w:sz w:val="22"/>
          <w:szCs w:val="22"/>
          <w:lang w:val="en-US"/>
        </w:rPr>
        <w:t xml:space="preserve">will </w:t>
      </w:r>
      <w:r w:rsidR="000011CF" w:rsidRPr="00D627C0">
        <w:rPr>
          <w:rFonts w:ascii="Calibri" w:hAnsi="Calibri" w:cs="Calibri"/>
          <w:color w:val="auto"/>
          <w:sz w:val="22"/>
          <w:szCs w:val="22"/>
          <w:lang w:val="en-US"/>
        </w:rPr>
        <w:t>contain a general</w:t>
      </w:r>
      <w:r w:rsidR="0090413F" w:rsidRPr="00D627C0">
        <w:rPr>
          <w:rFonts w:ascii="Calibri" w:hAnsi="Calibri" w:cs="Calibri"/>
          <w:color w:val="auto"/>
          <w:sz w:val="22"/>
          <w:szCs w:val="22"/>
          <w:lang w:val="en-US"/>
        </w:rPr>
        <w:t xml:space="preserve"> </w:t>
      </w:r>
      <w:r w:rsidR="000011CF" w:rsidRPr="00D627C0">
        <w:rPr>
          <w:rFonts w:ascii="Calibri" w:hAnsi="Calibri" w:cs="Calibri"/>
          <w:color w:val="auto"/>
          <w:sz w:val="22"/>
          <w:szCs w:val="22"/>
          <w:lang w:val="en-US"/>
        </w:rPr>
        <w:t xml:space="preserve">provision to allow the recovery of all </w:t>
      </w:r>
      <w:r w:rsidRPr="00D627C0">
        <w:rPr>
          <w:rFonts w:ascii="Calibri" w:hAnsi="Calibri" w:cs="Calibri"/>
          <w:color w:val="auto"/>
          <w:sz w:val="22"/>
          <w:szCs w:val="22"/>
          <w:lang w:val="en-US"/>
        </w:rPr>
        <w:t xml:space="preserve">grant </w:t>
      </w:r>
      <w:r w:rsidR="000011CF" w:rsidRPr="00D627C0">
        <w:rPr>
          <w:rFonts w:ascii="Calibri" w:hAnsi="Calibri" w:cs="Calibri"/>
          <w:color w:val="auto"/>
          <w:sz w:val="22"/>
          <w:szCs w:val="22"/>
          <w:lang w:val="en-US"/>
        </w:rPr>
        <w:t>support in the event of a grant</w:t>
      </w:r>
      <w:r w:rsidR="0090413F" w:rsidRPr="00D627C0">
        <w:rPr>
          <w:rFonts w:ascii="Calibri" w:hAnsi="Calibri" w:cs="Calibri"/>
          <w:color w:val="auto"/>
          <w:sz w:val="22"/>
          <w:szCs w:val="22"/>
          <w:lang w:val="en-US"/>
        </w:rPr>
        <w:t xml:space="preserve"> </w:t>
      </w:r>
      <w:r w:rsidR="000011CF" w:rsidRPr="00D627C0">
        <w:rPr>
          <w:rFonts w:ascii="Calibri" w:hAnsi="Calibri" w:cs="Calibri"/>
          <w:color w:val="auto"/>
          <w:sz w:val="22"/>
          <w:szCs w:val="22"/>
          <w:lang w:val="en-US"/>
        </w:rPr>
        <w:t xml:space="preserve">not being compliant with </w:t>
      </w:r>
      <w:r w:rsidRPr="00D627C0">
        <w:rPr>
          <w:rFonts w:ascii="Calibri" w:hAnsi="Calibri" w:cs="Calibri"/>
          <w:color w:val="auto"/>
          <w:sz w:val="22"/>
          <w:szCs w:val="22"/>
          <w:lang w:val="en-US"/>
        </w:rPr>
        <w:t>the scheme rules.</w:t>
      </w:r>
      <w:r w:rsidR="00F434A8" w:rsidRPr="00D627C0">
        <w:rPr>
          <w:rFonts w:ascii="Calibri" w:hAnsi="Calibri" w:cs="Calibri"/>
          <w:color w:val="auto"/>
          <w:sz w:val="22"/>
          <w:szCs w:val="22"/>
          <w:lang w:val="en-US"/>
        </w:rPr>
        <w:t xml:space="preserve"> </w:t>
      </w:r>
      <w:r w:rsidR="0017450A" w:rsidRPr="00D627C0">
        <w:rPr>
          <w:rFonts w:ascii="Calibri" w:hAnsi="Calibri" w:cs="Calibri"/>
          <w:color w:val="auto"/>
          <w:sz w:val="22"/>
          <w:szCs w:val="22"/>
          <w:lang w:val="en-US"/>
        </w:rPr>
        <w:t>These powers will be used with discretion.</w:t>
      </w:r>
      <w:bookmarkStart w:id="150" w:name="_Toc349307653"/>
      <w:bookmarkStart w:id="151" w:name="_Toc349307802"/>
      <w:bookmarkStart w:id="152" w:name="_Toc349308312"/>
      <w:bookmarkStart w:id="153" w:name="_Toc349308420"/>
      <w:bookmarkStart w:id="154" w:name="_Toc349308513"/>
      <w:r w:rsidR="0017450A" w:rsidRPr="00D627C0">
        <w:rPr>
          <w:rFonts w:ascii="Calibri" w:hAnsi="Calibri" w:cs="Calibri"/>
          <w:color w:val="auto"/>
          <w:sz w:val="22"/>
          <w:szCs w:val="22"/>
          <w:lang w:val="en-US"/>
        </w:rPr>
        <w:t xml:space="preserve"> </w:t>
      </w:r>
      <w:bookmarkEnd w:id="150"/>
      <w:bookmarkEnd w:id="151"/>
      <w:bookmarkEnd w:id="152"/>
      <w:bookmarkEnd w:id="153"/>
      <w:bookmarkEnd w:id="154"/>
      <w:r w:rsidR="000011CF" w:rsidRPr="00D627C0">
        <w:rPr>
          <w:rFonts w:ascii="Calibri" w:hAnsi="Calibri" w:cs="Calibri"/>
          <w:color w:val="auto"/>
          <w:sz w:val="22"/>
          <w:szCs w:val="22"/>
          <w:lang w:val="en-US"/>
        </w:rPr>
        <w:t xml:space="preserve">This general provision </w:t>
      </w:r>
      <w:r w:rsidR="000011CF" w:rsidRPr="00D627C0">
        <w:rPr>
          <w:rFonts w:ascii="Calibri" w:hAnsi="Calibri" w:cs="Calibri"/>
          <w:color w:val="auto"/>
          <w:sz w:val="22"/>
          <w:szCs w:val="22"/>
        </w:rPr>
        <w:t xml:space="preserve">gives </w:t>
      </w:r>
      <w:r w:rsidR="00981B48" w:rsidRPr="00D627C0">
        <w:rPr>
          <w:rFonts w:ascii="Calibri" w:hAnsi="Calibri" w:cs="Calibri"/>
          <w:color w:val="auto"/>
          <w:sz w:val="22"/>
          <w:szCs w:val="22"/>
        </w:rPr>
        <w:t>the Chamber</w:t>
      </w:r>
      <w:r w:rsidR="000011CF" w:rsidRPr="00D627C0">
        <w:rPr>
          <w:rFonts w:ascii="Calibri" w:hAnsi="Calibri" w:cs="Calibri"/>
          <w:color w:val="auto"/>
          <w:sz w:val="22"/>
          <w:szCs w:val="22"/>
        </w:rPr>
        <w:t xml:space="preserve"> wide ranging</w:t>
      </w:r>
      <w:r w:rsidR="000011CF" w:rsidRPr="00D627C0">
        <w:rPr>
          <w:rFonts w:ascii="Calibri" w:hAnsi="Calibri" w:cs="Calibri"/>
          <w:color w:val="auto"/>
          <w:sz w:val="22"/>
          <w:szCs w:val="22"/>
          <w:lang w:val="en-US"/>
        </w:rPr>
        <w:t xml:space="preserve"> powers</w:t>
      </w:r>
      <w:r w:rsidR="0090413F" w:rsidRPr="00D627C0">
        <w:rPr>
          <w:rFonts w:ascii="Calibri" w:hAnsi="Calibri" w:cs="Calibri"/>
          <w:color w:val="auto"/>
          <w:sz w:val="22"/>
          <w:szCs w:val="22"/>
          <w:lang w:val="en-US"/>
        </w:rPr>
        <w:t xml:space="preserve"> </w:t>
      </w:r>
      <w:r w:rsidR="000011CF" w:rsidRPr="00D627C0">
        <w:rPr>
          <w:rFonts w:ascii="Calibri" w:hAnsi="Calibri" w:cs="Calibri"/>
          <w:color w:val="auto"/>
          <w:sz w:val="22"/>
          <w:szCs w:val="22"/>
          <w:lang w:val="en-US"/>
        </w:rPr>
        <w:t>to withhold, delay, reduce or reclaim (clawback) all or part of the proposed assistance in certain circumstances and in particular in the event of:</w:t>
      </w:r>
    </w:p>
    <w:p w14:paraId="22488487" w14:textId="7FE6E2FB" w:rsidR="000011CF" w:rsidRPr="00D627C0" w:rsidRDefault="00F434A8" w:rsidP="00F434A8">
      <w:pPr>
        <w:pStyle w:val="Bulletedtextlevel2"/>
        <w:numPr>
          <w:ilvl w:val="0"/>
          <w:numId w:val="13"/>
        </w:numPr>
        <w:jc w:val="both"/>
        <w:rPr>
          <w:rFonts w:ascii="Calibri" w:hAnsi="Calibri" w:cs="Calibri"/>
          <w:color w:val="auto"/>
          <w:sz w:val="22"/>
          <w:szCs w:val="22"/>
        </w:rPr>
      </w:pPr>
      <w:r w:rsidRPr="00D627C0">
        <w:rPr>
          <w:rFonts w:ascii="Calibri" w:hAnsi="Calibri" w:cs="Calibri"/>
          <w:color w:val="auto"/>
          <w:sz w:val="22"/>
          <w:szCs w:val="22"/>
        </w:rPr>
        <w:t>A</w:t>
      </w:r>
      <w:r w:rsidR="000011CF" w:rsidRPr="00D627C0">
        <w:rPr>
          <w:rFonts w:ascii="Calibri" w:hAnsi="Calibri" w:cs="Calibri"/>
          <w:color w:val="auto"/>
          <w:sz w:val="22"/>
          <w:szCs w:val="22"/>
        </w:rPr>
        <w:t xml:space="preserve"> substantial change in the nature or scale of th</w:t>
      </w:r>
      <w:r w:rsidR="0038463D" w:rsidRPr="00D627C0">
        <w:rPr>
          <w:rFonts w:ascii="Calibri" w:hAnsi="Calibri" w:cs="Calibri"/>
          <w:color w:val="auto"/>
          <w:sz w:val="22"/>
          <w:szCs w:val="22"/>
        </w:rPr>
        <w:t>e project</w:t>
      </w:r>
    </w:p>
    <w:p w14:paraId="5310E4C4" w14:textId="7F331F9B" w:rsidR="000011CF" w:rsidRPr="00D627C0" w:rsidRDefault="00F434A8" w:rsidP="00F434A8">
      <w:pPr>
        <w:pStyle w:val="Bulletedtextlevel2"/>
        <w:numPr>
          <w:ilvl w:val="0"/>
          <w:numId w:val="13"/>
        </w:numPr>
        <w:jc w:val="both"/>
        <w:rPr>
          <w:rFonts w:ascii="Calibri" w:hAnsi="Calibri" w:cs="Calibri"/>
          <w:color w:val="auto"/>
          <w:sz w:val="22"/>
          <w:szCs w:val="22"/>
        </w:rPr>
      </w:pPr>
      <w:r w:rsidRPr="00D627C0">
        <w:rPr>
          <w:rFonts w:ascii="Calibri" w:hAnsi="Calibri" w:cs="Calibri"/>
          <w:color w:val="auto"/>
          <w:sz w:val="22"/>
          <w:szCs w:val="22"/>
        </w:rPr>
        <w:t>T</w:t>
      </w:r>
      <w:r w:rsidR="000011CF" w:rsidRPr="00D627C0">
        <w:rPr>
          <w:rFonts w:ascii="Calibri" w:hAnsi="Calibri" w:cs="Calibri"/>
          <w:color w:val="auto"/>
          <w:sz w:val="22"/>
          <w:szCs w:val="22"/>
        </w:rPr>
        <w:t>he disposal of all or a significant part of the assets provided for the</w:t>
      </w:r>
      <w:r w:rsidR="0090413F" w:rsidRPr="00D627C0">
        <w:rPr>
          <w:rFonts w:ascii="Calibri" w:hAnsi="Calibri" w:cs="Calibri"/>
          <w:color w:val="auto"/>
          <w:sz w:val="22"/>
          <w:szCs w:val="22"/>
        </w:rPr>
        <w:t xml:space="preserve"> </w:t>
      </w:r>
      <w:r w:rsidR="0038463D" w:rsidRPr="00D627C0">
        <w:rPr>
          <w:rFonts w:ascii="Calibri" w:hAnsi="Calibri" w:cs="Calibri"/>
          <w:color w:val="auto"/>
          <w:sz w:val="22"/>
          <w:szCs w:val="22"/>
        </w:rPr>
        <w:t>project</w:t>
      </w:r>
    </w:p>
    <w:p w14:paraId="4A25161C" w14:textId="13931772" w:rsidR="000011CF" w:rsidRPr="00D627C0" w:rsidRDefault="00F434A8" w:rsidP="00F434A8">
      <w:pPr>
        <w:pStyle w:val="Bulletedtextlevel2"/>
        <w:numPr>
          <w:ilvl w:val="0"/>
          <w:numId w:val="13"/>
        </w:numPr>
        <w:jc w:val="both"/>
        <w:rPr>
          <w:rFonts w:ascii="Calibri" w:hAnsi="Calibri" w:cs="Calibri"/>
          <w:color w:val="auto"/>
          <w:sz w:val="22"/>
          <w:szCs w:val="22"/>
        </w:rPr>
      </w:pPr>
      <w:r w:rsidRPr="00D627C0">
        <w:rPr>
          <w:rFonts w:ascii="Calibri" w:hAnsi="Calibri" w:cs="Calibri"/>
          <w:color w:val="auto"/>
          <w:sz w:val="22"/>
          <w:szCs w:val="22"/>
        </w:rPr>
        <w:t>A</w:t>
      </w:r>
      <w:r w:rsidR="000011CF" w:rsidRPr="00D627C0">
        <w:rPr>
          <w:rFonts w:ascii="Calibri" w:hAnsi="Calibri" w:cs="Calibri"/>
          <w:color w:val="auto"/>
          <w:sz w:val="22"/>
          <w:szCs w:val="22"/>
        </w:rPr>
        <w:t>n unsatisfactory rate of progres</w:t>
      </w:r>
      <w:r w:rsidR="0038463D" w:rsidRPr="00D627C0">
        <w:rPr>
          <w:rFonts w:ascii="Calibri" w:hAnsi="Calibri" w:cs="Calibri"/>
          <w:color w:val="auto"/>
          <w:sz w:val="22"/>
          <w:szCs w:val="22"/>
        </w:rPr>
        <w:t>s towards project completion</w:t>
      </w:r>
    </w:p>
    <w:p w14:paraId="7909F647" w14:textId="72021689" w:rsidR="00505989" w:rsidRPr="00D627C0" w:rsidRDefault="00A2250E" w:rsidP="00417B3D">
      <w:pPr>
        <w:pStyle w:val="Bulletedtextlevel2"/>
        <w:numPr>
          <w:ilvl w:val="0"/>
          <w:numId w:val="13"/>
        </w:numPr>
        <w:jc w:val="both"/>
        <w:rPr>
          <w:rFonts w:ascii="Calibri" w:hAnsi="Calibri" w:cs="Calibri"/>
          <w:color w:val="auto"/>
          <w:sz w:val="22"/>
          <w:szCs w:val="22"/>
          <w:lang w:val="en-US"/>
        </w:rPr>
      </w:pPr>
      <w:r w:rsidRPr="00D627C0">
        <w:rPr>
          <w:rFonts w:ascii="Calibri" w:hAnsi="Calibri" w:cs="Calibri"/>
          <w:color w:val="auto"/>
          <w:sz w:val="22"/>
          <w:szCs w:val="22"/>
        </w:rPr>
        <w:t>Significant output/outcome issues</w:t>
      </w:r>
    </w:p>
    <w:p w14:paraId="4E73B4C3" w14:textId="62D459D6" w:rsidR="001C71FE" w:rsidRPr="00D627C0" w:rsidRDefault="001C71FE" w:rsidP="00B439E3">
      <w:pPr>
        <w:pStyle w:val="TOC-Sub"/>
        <w:outlineLvl w:val="1"/>
        <w:rPr>
          <w:color w:val="auto"/>
        </w:rPr>
      </w:pPr>
      <w:bookmarkStart w:id="155" w:name="_Toc152159687"/>
      <w:bookmarkStart w:id="156" w:name="_Toc157694465"/>
      <w:bookmarkStart w:id="157" w:name="_Toc349307656"/>
      <w:bookmarkStart w:id="158" w:name="_Toc349307805"/>
      <w:bookmarkStart w:id="159" w:name="_Toc349308315"/>
      <w:bookmarkStart w:id="160" w:name="_Toc349308423"/>
      <w:bookmarkStart w:id="161" w:name="_Toc349308516"/>
      <w:r w:rsidRPr="00D627C0">
        <w:rPr>
          <w:color w:val="auto"/>
        </w:rPr>
        <w:t>7.</w:t>
      </w:r>
      <w:r w:rsidR="00C51B63" w:rsidRPr="00D627C0">
        <w:rPr>
          <w:color w:val="auto"/>
        </w:rPr>
        <w:t>5</w:t>
      </w:r>
      <w:r w:rsidRPr="00D627C0">
        <w:rPr>
          <w:color w:val="auto"/>
        </w:rPr>
        <w:tab/>
        <w:t>Retention of Assets</w:t>
      </w:r>
      <w:bookmarkEnd w:id="155"/>
      <w:bookmarkEnd w:id="156"/>
    </w:p>
    <w:p w14:paraId="5B494EBD" w14:textId="26178A3D" w:rsidR="001C71FE" w:rsidRPr="00D2132A" w:rsidRDefault="00484105" w:rsidP="00CF39F0">
      <w:pPr>
        <w:jc w:val="both"/>
        <w:rPr>
          <w:rFonts w:ascii="Calibri" w:hAnsi="Calibri" w:cs="Calibri"/>
          <w:color w:val="auto"/>
          <w:sz w:val="22"/>
          <w:szCs w:val="22"/>
        </w:rPr>
      </w:pPr>
      <w:r w:rsidRPr="00D627C0">
        <w:rPr>
          <w:rFonts w:ascii="Calibri" w:hAnsi="Calibri" w:cs="Calibri"/>
          <w:color w:val="auto"/>
          <w:sz w:val="22"/>
          <w:szCs w:val="22"/>
        </w:rPr>
        <w:t xml:space="preserve">The Assets shall be used by the grant recipient solely for the purpose of the delivery of the </w:t>
      </w:r>
      <w:r w:rsidR="00A34F6E" w:rsidRPr="00D627C0">
        <w:rPr>
          <w:rFonts w:ascii="Calibri" w:hAnsi="Calibri" w:cs="Calibri"/>
          <w:color w:val="auto"/>
          <w:sz w:val="22"/>
          <w:szCs w:val="22"/>
        </w:rPr>
        <w:t>project and towards achievement of the project aims, the project objectives, the project outputs and the project outcomes</w:t>
      </w:r>
      <w:r w:rsidR="00C83ECE" w:rsidRPr="00D627C0">
        <w:rPr>
          <w:rFonts w:ascii="Calibri" w:hAnsi="Calibri" w:cs="Calibri"/>
          <w:color w:val="auto"/>
          <w:sz w:val="22"/>
          <w:szCs w:val="22"/>
        </w:rPr>
        <w:t xml:space="preserve">, as a minimum until </w:t>
      </w:r>
      <w:r w:rsidR="006B3E7C" w:rsidRPr="00D627C0">
        <w:rPr>
          <w:rFonts w:ascii="Calibri" w:hAnsi="Calibri" w:cs="Calibri"/>
          <w:color w:val="auto"/>
          <w:sz w:val="22"/>
          <w:szCs w:val="22"/>
        </w:rPr>
        <w:t>28</w:t>
      </w:r>
      <w:r w:rsidR="006B3E7C" w:rsidRPr="00D627C0">
        <w:rPr>
          <w:rFonts w:ascii="Calibri" w:hAnsi="Calibri" w:cs="Calibri"/>
          <w:color w:val="auto"/>
          <w:sz w:val="22"/>
          <w:szCs w:val="22"/>
          <w:vertAlign w:val="superscript"/>
        </w:rPr>
        <w:t>th</w:t>
      </w:r>
      <w:r w:rsidR="006B3E7C" w:rsidRPr="00D627C0">
        <w:rPr>
          <w:rFonts w:ascii="Calibri" w:hAnsi="Calibri" w:cs="Calibri"/>
          <w:color w:val="auto"/>
          <w:sz w:val="22"/>
          <w:szCs w:val="22"/>
        </w:rPr>
        <w:t xml:space="preserve"> February 2027</w:t>
      </w:r>
      <w:r w:rsidR="005B5086" w:rsidRPr="00D627C0">
        <w:rPr>
          <w:rFonts w:ascii="Calibri" w:hAnsi="Calibri" w:cs="Calibri"/>
          <w:color w:val="auto"/>
          <w:sz w:val="22"/>
          <w:szCs w:val="22"/>
        </w:rPr>
        <w:t>.</w:t>
      </w:r>
    </w:p>
    <w:p w14:paraId="214EC5B3" w14:textId="1E9BE009" w:rsidR="00C83ECE" w:rsidRPr="00D2132A" w:rsidRDefault="00C83ECE" w:rsidP="00CF39F0">
      <w:pPr>
        <w:jc w:val="both"/>
        <w:rPr>
          <w:rFonts w:ascii="Calibri" w:hAnsi="Calibri" w:cs="Calibri"/>
          <w:color w:val="auto"/>
          <w:sz w:val="22"/>
          <w:szCs w:val="22"/>
        </w:rPr>
      </w:pPr>
    </w:p>
    <w:p w14:paraId="434FDBBB" w14:textId="54278272" w:rsidR="00C83ECE" w:rsidRPr="00D2132A" w:rsidRDefault="00C83ECE" w:rsidP="00CF39F0">
      <w:pPr>
        <w:jc w:val="both"/>
        <w:rPr>
          <w:rFonts w:ascii="Calibri" w:hAnsi="Calibri" w:cs="Calibri"/>
          <w:color w:val="auto"/>
          <w:sz w:val="22"/>
          <w:szCs w:val="22"/>
        </w:rPr>
      </w:pPr>
      <w:r w:rsidRPr="00D2132A">
        <w:rPr>
          <w:rFonts w:ascii="Calibri" w:hAnsi="Calibri" w:cs="Calibri"/>
          <w:color w:val="auto"/>
          <w:sz w:val="22"/>
          <w:szCs w:val="22"/>
        </w:rPr>
        <w:t xml:space="preserve">The recipient undertakes not to enter into a disposal without the prior written consent of </w:t>
      </w:r>
      <w:r w:rsidR="0032269F" w:rsidRPr="00D2132A">
        <w:rPr>
          <w:rFonts w:ascii="Calibri" w:hAnsi="Calibri" w:cs="Calibri"/>
          <w:color w:val="auto"/>
          <w:sz w:val="22"/>
          <w:szCs w:val="22"/>
        </w:rPr>
        <w:t xml:space="preserve">Cumbria Chamber of Commerce. Cumbria Chamber of Commerce will not </w:t>
      </w:r>
      <w:r w:rsidR="005D5F31" w:rsidRPr="00D2132A">
        <w:rPr>
          <w:rFonts w:ascii="Calibri" w:hAnsi="Calibri" w:cs="Calibri"/>
          <w:color w:val="auto"/>
          <w:sz w:val="22"/>
          <w:szCs w:val="22"/>
        </w:rPr>
        <w:t>be</w:t>
      </w:r>
      <w:r w:rsidR="0032269F" w:rsidRPr="00D2132A">
        <w:rPr>
          <w:rFonts w:ascii="Calibri" w:hAnsi="Calibri" w:cs="Calibri"/>
          <w:color w:val="auto"/>
          <w:sz w:val="22"/>
          <w:szCs w:val="22"/>
        </w:rPr>
        <w:t xml:space="preserve"> obliged to provide this consent and any such consent may be subj</w:t>
      </w:r>
      <w:r w:rsidR="00924A06" w:rsidRPr="00D2132A">
        <w:rPr>
          <w:rFonts w:ascii="Calibri" w:hAnsi="Calibri" w:cs="Calibri"/>
          <w:color w:val="auto"/>
          <w:sz w:val="22"/>
          <w:szCs w:val="22"/>
        </w:rPr>
        <w:t>ect to any conditions the Chamber or Funder, consider, in their sole discretion, necessary o</w:t>
      </w:r>
      <w:r w:rsidR="00AE2C48">
        <w:rPr>
          <w:rFonts w:ascii="Calibri" w:hAnsi="Calibri" w:cs="Calibri"/>
          <w:color w:val="auto"/>
          <w:sz w:val="22"/>
          <w:szCs w:val="22"/>
        </w:rPr>
        <w:t>r</w:t>
      </w:r>
      <w:r w:rsidR="00924A06" w:rsidRPr="00D2132A">
        <w:rPr>
          <w:rFonts w:ascii="Calibri" w:hAnsi="Calibri" w:cs="Calibri"/>
          <w:color w:val="auto"/>
          <w:sz w:val="22"/>
          <w:szCs w:val="22"/>
        </w:rPr>
        <w:t xml:space="preserve"> desirable including</w:t>
      </w:r>
      <w:r w:rsidR="0049092B" w:rsidRPr="00D2132A">
        <w:rPr>
          <w:rFonts w:ascii="Calibri" w:hAnsi="Calibri" w:cs="Calibri"/>
          <w:color w:val="auto"/>
          <w:sz w:val="22"/>
          <w:szCs w:val="22"/>
        </w:rPr>
        <w:t xml:space="preserve"> repayment of the grant in whole or part.</w:t>
      </w:r>
    </w:p>
    <w:p w14:paraId="200539D7" w14:textId="77777777" w:rsidR="0049092B" w:rsidRPr="00D2132A" w:rsidRDefault="0049092B" w:rsidP="001C71FE">
      <w:pPr>
        <w:rPr>
          <w:rFonts w:ascii="Calibri" w:hAnsi="Calibri" w:cs="Calibri"/>
          <w:color w:val="auto"/>
          <w:sz w:val="22"/>
          <w:szCs w:val="22"/>
        </w:rPr>
      </w:pPr>
    </w:p>
    <w:p w14:paraId="6689C37E" w14:textId="77777777" w:rsidR="003E7E0E" w:rsidRPr="00D2132A" w:rsidRDefault="0049092B" w:rsidP="001C71FE">
      <w:pPr>
        <w:rPr>
          <w:rFonts w:ascii="Calibri" w:hAnsi="Calibri" w:cs="Calibri"/>
          <w:color w:val="auto"/>
          <w:sz w:val="22"/>
          <w:szCs w:val="22"/>
        </w:rPr>
      </w:pPr>
      <w:r w:rsidRPr="00D2132A">
        <w:rPr>
          <w:rFonts w:ascii="Calibri" w:hAnsi="Calibri" w:cs="Calibri"/>
          <w:color w:val="auto"/>
          <w:sz w:val="22"/>
          <w:szCs w:val="22"/>
        </w:rPr>
        <w:t>Where the Chamber con</w:t>
      </w:r>
      <w:r w:rsidR="00025F43" w:rsidRPr="00D2132A">
        <w:rPr>
          <w:rFonts w:ascii="Calibri" w:hAnsi="Calibri" w:cs="Calibri"/>
          <w:color w:val="auto"/>
          <w:sz w:val="22"/>
          <w:szCs w:val="22"/>
        </w:rPr>
        <w:t>se</w:t>
      </w:r>
      <w:r w:rsidRPr="00D2132A">
        <w:rPr>
          <w:rFonts w:ascii="Calibri" w:hAnsi="Calibri" w:cs="Calibri"/>
          <w:color w:val="auto"/>
          <w:sz w:val="22"/>
          <w:szCs w:val="22"/>
        </w:rPr>
        <w:t>nts to</w:t>
      </w:r>
      <w:r w:rsidR="00025F43" w:rsidRPr="00D2132A">
        <w:rPr>
          <w:rFonts w:ascii="Calibri" w:hAnsi="Calibri" w:cs="Calibri"/>
          <w:color w:val="auto"/>
          <w:sz w:val="22"/>
          <w:szCs w:val="22"/>
        </w:rPr>
        <w:t xml:space="preserve"> a disposal the recipient must provide evidence to the Chamber that the disposal is the best that can reasonably be obtained</w:t>
      </w:r>
      <w:r w:rsidR="003E7E0E" w:rsidRPr="00D2132A">
        <w:rPr>
          <w:rFonts w:ascii="Calibri" w:hAnsi="Calibri" w:cs="Calibri"/>
          <w:color w:val="auto"/>
          <w:sz w:val="22"/>
          <w:szCs w:val="22"/>
        </w:rPr>
        <w:t xml:space="preserve"> in the open market, on an arm’s length basis, on normal market terms, at that time.</w:t>
      </w:r>
    </w:p>
    <w:p w14:paraId="6F4B844A" w14:textId="77777777" w:rsidR="00B056CB" w:rsidRPr="00D2132A" w:rsidRDefault="00B056CB" w:rsidP="001C71FE">
      <w:pPr>
        <w:rPr>
          <w:rFonts w:ascii="Calibri" w:hAnsi="Calibri" w:cs="Calibri"/>
          <w:color w:val="auto"/>
          <w:sz w:val="22"/>
          <w:szCs w:val="22"/>
        </w:rPr>
      </w:pPr>
    </w:p>
    <w:p w14:paraId="723ACB7F" w14:textId="403B5A40" w:rsidR="006729AF" w:rsidRPr="00D2132A" w:rsidRDefault="005D5F31" w:rsidP="001C71FE">
      <w:pPr>
        <w:rPr>
          <w:rFonts w:ascii="Calibri" w:hAnsi="Calibri" w:cs="Calibri"/>
          <w:color w:val="auto"/>
          <w:sz w:val="22"/>
          <w:szCs w:val="22"/>
        </w:rPr>
      </w:pPr>
      <w:r w:rsidRPr="00D2132A">
        <w:rPr>
          <w:rFonts w:ascii="Calibri" w:hAnsi="Calibri" w:cs="Calibri"/>
          <w:color w:val="auto"/>
          <w:sz w:val="22"/>
          <w:szCs w:val="22"/>
        </w:rPr>
        <w:t>Notwithstanding</w:t>
      </w:r>
      <w:r w:rsidR="00B056CB" w:rsidRPr="00D2132A">
        <w:rPr>
          <w:rFonts w:ascii="Calibri" w:hAnsi="Calibri" w:cs="Calibri"/>
          <w:color w:val="auto"/>
          <w:sz w:val="22"/>
          <w:szCs w:val="22"/>
        </w:rPr>
        <w:t xml:space="preserve"> the provisions of this clause 7.</w:t>
      </w:r>
      <w:r w:rsidR="005B5086" w:rsidRPr="00D2132A">
        <w:rPr>
          <w:rFonts w:ascii="Calibri" w:hAnsi="Calibri" w:cs="Calibri"/>
          <w:color w:val="auto"/>
          <w:sz w:val="22"/>
          <w:szCs w:val="22"/>
        </w:rPr>
        <w:t>5</w:t>
      </w:r>
      <w:r w:rsidR="00B056CB" w:rsidRPr="00D2132A">
        <w:rPr>
          <w:rFonts w:ascii="Calibri" w:hAnsi="Calibri" w:cs="Calibri"/>
          <w:color w:val="auto"/>
          <w:sz w:val="22"/>
          <w:szCs w:val="22"/>
        </w:rPr>
        <w:t>, where the recipient makes a disposal without the Chamber’s prior written cons</w:t>
      </w:r>
      <w:r w:rsidR="00CE584E" w:rsidRPr="00D2132A">
        <w:rPr>
          <w:rFonts w:ascii="Calibri" w:hAnsi="Calibri" w:cs="Calibri"/>
          <w:color w:val="auto"/>
          <w:sz w:val="22"/>
          <w:szCs w:val="22"/>
        </w:rPr>
        <w:t xml:space="preserve">ent the recipient shall transfer the proceeds of </w:t>
      </w:r>
      <w:r w:rsidR="006729AF" w:rsidRPr="00D2132A">
        <w:rPr>
          <w:rFonts w:ascii="Calibri" w:hAnsi="Calibri" w:cs="Calibri"/>
          <w:color w:val="auto"/>
          <w:sz w:val="22"/>
          <w:szCs w:val="22"/>
        </w:rPr>
        <w:t>any disposal (up to the total value of the grant) to the Chamber within ten working days of the date of disposal.</w:t>
      </w:r>
    </w:p>
    <w:p w14:paraId="446B00FA" w14:textId="77777777" w:rsidR="006729AF" w:rsidRPr="00D2132A" w:rsidRDefault="006729AF" w:rsidP="001C71FE">
      <w:pPr>
        <w:rPr>
          <w:rFonts w:ascii="Calibri" w:hAnsi="Calibri" w:cs="Calibri"/>
          <w:color w:val="auto"/>
          <w:sz w:val="22"/>
          <w:szCs w:val="22"/>
        </w:rPr>
      </w:pPr>
    </w:p>
    <w:p w14:paraId="77C17BFD" w14:textId="109B2F55" w:rsidR="00A133C0" w:rsidRPr="00D2132A" w:rsidRDefault="00A133C0" w:rsidP="001C71FE">
      <w:pPr>
        <w:rPr>
          <w:rFonts w:ascii="Calibri" w:hAnsi="Calibri" w:cs="Calibri"/>
          <w:color w:val="auto"/>
          <w:sz w:val="22"/>
          <w:szCs w:val="22"/>
        </w:rPr>
      </w:pPr>
      <w:r w:rsidRPr="00D2132A">
        <w:rPr>
          <w:rFonts w:ascii="Calibri" w:hAnsi="Calibri" w:cs="Calibri"/>
          <w:color w:val="auto"/>
          <w:sz w:val="22"/>
          <w:szCs w:val="22"/>
        </w:rPr>
        <w:t>The recipient agrees that failure to comply with this clause shall entitle the Chamber to charge interest at a rate of 4% above the base rate</w:t>
      </w:r>
      <w:r w:rsidR="00172CC7" w:rsidRPr="00D2132A">
        <w:rPr>
          <w:rFonts w:ascii="Calibri" w:hAnsi="Calibri" w:cs="Calibri"/>
          <w:color w:val="auto"/>
          <w:sz w:val="22"/>
          <w:szCs w:val="22"/>
        </w:rPr>
        <w:t xml:space="preserve"> from time to time of National Westminster Bank for each day the proceeds of disposal are overdue and shall be entitled t</w:t>
      </w:r>
      <w:r w:rsidR="004211DC" w:rsidRPr="00D2132A">
        <w:rPr>
          <w:rFonts w:ascii="Calibri" w:hAnsi="Calibri" w:cs="Calibri"/>
          <w:color w:val="auto"/>
          <w:sz w:val="22"/>
          <w:szCs w:val="22"/>
        </w:rPr>
        <w:t>o recover the proceeds of disposal and any interest as a debt.</w:t>
      </w:r>
    </w:p>
    <w:p w14:paraId="097B6E3A" w14:textId="41A6A9BC" w:rsidR="009F3405" w:rsidRPr="00D2132A" w:rsidRDefault="009F3405" w:rsidP="009F3405">
      <w:pPr>
        <w:rPr>
          <w:rFonts w:ascii="Calibri" w:hAnsi="Calibri" w:cs="Calibri"/>
          <w:color w:val="auto"/>
          <w:sz w:val="22"/>
          <w:szCs w:val="22"/>
        </w:rPr>
      </w:pPr>
    </w:p>
    <w:p w14:paraId="5F92B894" w14:textId="77777777" w:rsidR="008D2AD7" w:rsidRDefault="008D2AD7" w:rsidP="009F3405">
      <w:pPr>
        <w:rPr>
          <w:rFonts w:ascii="Calibri" w:hAnsi="Calibri" w:cs="Calibri"/>
          <w:b/>
          <w:bCs/>
          <w:color w:val="auto"/>
          <w:sz w:val="22"/>
          <w:szCs w:val="22"/>
        </w:rPr>
      </w:pPr>
    </w:p>
    <w:p w14:paraId="4ED804A2" w14:textId="77777777" w:rsidR="008D2AD7" w:rsidRDefault="008D2AD7" w:rsidP="009F3405">
      <w:pPr>
        <w:rPr>
          <w:rFonts w:ascii="Calibri" w:hAnsi="Calibri" w:cs="Calibri"/>
          <w:b/>
          <w:bCs/>
          <w:color w:val="auto"/>
          <w:sz w:val="22"/>
          <w:szCs w:val="22"/>
        </w:rPr>
      </w:pPr>
    </w:p>
    <w:p w14:paraId="5B37C1D9" w14:textId="77777777" w:rsidR="008D2AD7" w:rsidRDefault="008D2AD7" w:rsidP="009F3405">
      <w:pPr>
        <w:rPr>
          <w:rFonts w:ascii="Calibri" w:hAnsi="Calibri" w:cs="Calibri"/>
          <w:b/>
          <w:bCs/>
          <w:color w:val="auto"/>
          <w:sz w:val="22"/>
          <w:szCs w:val="22"/>
        </w:rPr>
      </w:pPr>
    </w:p>
    <w:p w14:paraId="62BB418A" w14:textId="6C1B7669" w:rsidR="000011CF" w:rsidRPr="00D2132A" w:rsidRDefault="00A2250E" w:rsidP="009F3405">
      <w:pPr>
        <w:rPr>
          <w:rFonts w:ascii="Calibri" w:hAnsi="Calibri" w:cs="Calibri"/>
          <w:b/>
          <w:bCs/>
          <w:color w:val="auto"/>
          <w:sz w:val="22"/>
          <w:szCs w:val="22"/>
        </w:rPr>
      </w:pPr>
      <w:r w:rsidRPr="00D2132A">
        <w:rPr>
          <w:rFonts w:ascii="Calibri" w:hAnsi="Calibri" w:cs="Calibri"/>
          <w:b/>
          <w:bCs/>
          <w:color w:val="auto"/>
          <w:sz w:val="22"/>
          <w:szCs w:val="22"/>
        </w:rPr>
        <w:lastRenderedPageBreak/>
        <w:t>7</w:t>
      </w:r>
      <w:r w:rsidR="0062071A" w:rsidRPr="00D2132A">
        <w:rPr>
          <w:rFonts w:ascii="Calibri" w:hAnsi="Calibri" w:cs="Calibri"/>
          <w:b/>
          <w:bCs/>
          <w:color w:val="auto"/>
          <w:sz w:val="22"/>
          <w:szCs w:val="22"/>
        </w:rPr>
        <w:t>.</w:t>
      </w:r>
      <w:r w:rsidR="00C51B63" w:rsidRPr="00D2132A">
        <w:rPr>
          <w:rFonts w:ascii="Calibri" w:hAnsi="Calibri" w:cs="Calibri"/>
          <w:b/>
          <w:bCs/>
          <w:color w:val="auto"/>
          <w:sz w:val="22"/>
          <w:szCs w:val="22"/>
        </w:rPr>
        <w:t>6</w:t>
      </w:r>
      <w:r w:rsidR="0062071A" w:rsidRPr="00D2132A">
        <w:rPr>
          <w:rFonts w:ascii="Calibri" w:hAnsi="Calibri" w:cs="Calibri"/>
          <w:b/>
          <w:bCs/>
          <w:color w:val="auto"/>
          <w:sz w:val="22"/>
          <w:szCs w:val="22"/>
        </w:rPr>
        <w:tab/>
        <w:t>P</w:t>
      </w:r>
      <w:r w:rsidR="000011CF" w:rsidRPr="00D2132A">
        <w:rPr>
          <w:rFonts w:ascii="Calibri" w:hAnsi="Calibri" w:cs="Calibri"/>
          <w:b/>
          <w:bCs/>
          <w:color w:val="auto"/>
          <w:sz w:val="22"/>
          <w:szCs w:val="22"/>
        </w:rPr>
        <w:t xml:space="preserve">rojects </w:t>
      </w:r>
      <w:r w:rsidR="0062071A" w:rsidRPr="00D2132A">
        <w:rPr>
          <w:rFonts w:ascii="Calibri" w:hAnsi="Calibri" w:cs="Calibri"/>
          <w:b/>
          <w:bCs/>
          <w:color w:val="auto"/>
          <w:sz w:val="22"/>
          <w:szCs w:val="22"/>
        </w:rPr>
        <w:t>R</w:t>
      </w:r>
      <w:r w:rsidR="000011CF" w:rsidRPr="00D2132A">
        <w:rPr>
          <w:rFonts w:ascii="Calibri" w:hAnsi="Calibri" w:cs="Calibri"/>
          <w:b/>
          <w:bCs/>
          <w:color w:val="auto"/>
          <w:sz w:val="22"/>
          <w:szCs w:val="22"/>
        </w:rPr>
        <w:t xml:space="preserve">educed in </w:t>
      </w:r>
      <w:r w:rsidR="0062071A" w:rsidRPr="00D2132A">
        <w:rPr>
          <w:rFonts w:ascii="Calibri" w:hAnsi="Calibri" w:cs="Calibri"/>
          <w:b/>
          <w:bCs/>
          <w:color w:val="auto"/>
          <w:sz w:val="22"/>
          <w:szCs w:val="22"/>
        </w:rPr>
        <w:t>S</w:t>
      </w:r>
      <w:r w:rsidR="000011CF" w:rsidRPr="00D2132A">
        <w:rPr>
          <w:rFonts w:ascii="Calibri" w:hAnsi="Calibri" w:cs="Calibri"/>
          <w:b/>
          <w:bCs/>
          <w:color w:val="auto"/>
          <w:sz w:val="22"/>
          <w:szCs w:val="22"/>
        </w:rPr>
        <w:t>cale</w:t>
      </w:r>
      <w:bookmarkEnd w:id="157"/>
      <w:bookmarkEnd w:id="158"/>
      <w:bookmarkEnd w:id="159"/>
      <w:bookmarkEnd w:id="160"/>
      <w:bookmarkEnd w:id="161"/>
    </w:p>
    <w:p w14:paraId="3E5FB134" w14:textId="3D88F8B4" w:rsidR="00505989" w:rsidRPr="00D2132A" w:rsidRDefault="000011CF" w:rsidP="00C2122D">
      <w:pPr>
        <w:pStyle w:val="Bodycopy"/>
        <w:jc w:val="both"/>
        <w:rPr>
          <w:rFonts w:ascii="Calibri" w:hAnsi="Calibri" w:cs="Calibri"/>
          <w:color w:val="auto"/>
          <w:sz w:val="22"/>
          <w:szCs w:val="22"/>
        </w:rPr>
      </w:pPr>
      <w:r w:rsidRPr="00D2132A">
        <w:rPr>
          <w:rFonts w:ascii="Calibri" w:hAnsi="Calibri" w:cs="Calibri"/>
          <w:color w:val="auto"/>
          <w:sz w:val="22"/>
          <w:szCs w:val="22"/>
        </w:rPr>
        <w:t>Where the scale of the project has been reduced</w:t>
      </w:r>
      <w:r w:rsidR="003B52FB" w:rsidRPr="00D2132A">
        <w:rPr>
          <w:rFonts w:ascii="Calibri" w:hAnsi="Calibri" w:cs="Calibri"/>
          <w:color w:val="auto"/>
          <w:sz w:val="22"/>
          <w:szCs w:val="22"/>
        </w:rPr>
        <w:t xml:space="preserve"> t</w:t>
      </w:r>
      <w:r w:rsidRPr="00D2132A">
        <w:rPr>
          <w:rFonts w:ascii="Calibri" w:hAnsi="Calibri" w:cs="Calibri"/>
          <w:color w:val="auto"/>
          <w:sz w:val="22"/>
          <w:szCs w:val="22"/>
        </w:rPr>
        <w:t xml:space="preserve">he level of assistance </w:t>
      </w:r>
      <w:r w:rsidR="003B52FB" w:rsidRPr="00D2132A">
        <w:rPr>
          <w:rFonts w:ascii="Calibri" w:hAnsi="Calibri" w:cs="Calibri"/>
          <w:color w:val="auto"/>
          <w:sz w:val="22"/>
          <w:szCs w:val="22"/>
        </w:rPr>
        <w:t xml:space="preserve">will </w:t>
      </w:r>
      <w:r w:rsidR="00A752EA" w:rsidRPr="00D2132A">
        <w:rPr>
          <w:rFonts w:ascii="Calibri" w:hAnsi="Calibri" w:cs="Calibri"/>
          <w:color w:val="auto"/>
          <w:sz w:val="22"/>
          <w:szCs w:val="22"/>
        </w:rPr>
        <w:t xml:space="preserve">normally </w:t>
      </w:r>
      <w:r w:rsidRPr="00D2132A">
        <w:rPr>
          <w:rFonts w:ascii="Calibri" w:hAnsi="Calibri" w:cs="Calibri"/>
          <w:color w:val="auto"/>
          <w:sz w:val="22"/>
          <w:szCs w:val="22"/>
        </w:rPr>
        <w:t>be reduced</w:t>
      </w:r>
      <w:r w:rsidR="00FD7477" w:rsidRPr="00D2132A">
        <w:rPr>
          <w:rFonts w:ascii="Calibri" w:hAnsi="Calibri" w:cs="Calibri"/>
          <w:color w:val="auto"/>
          <w:sz w:val="22"/>
          <w:szCs w:val="22"/>
        </w:rPr>
        <w:t xml:space="preserve"> </w:t>
      </w:r>
      <w:r w:rsidRPr="00D2132A">
        <w:rPr>
          <w:rFonts w:ascii="Calibri" w:hAnsi="Calibri" w:cs="Calibri"/>
          <w:color w:val="auto"/>
          <w:sz w:val="22"/>
          <w:szCs w:val="22"/>
        </w:rPr>
        <w:t>pro rata with the reduction in the scale of the project</w:t>
      </w:r>
      <w:r w:rsidR="00A752EA" w:rsidRPr="00D2132A">
        <w:rPr>
          <w:rFonts w:ascii="Calibri" w:hAnsi="Calibri" w:cs="Calibri"/>
          <w:color w:val="auto"/>
          <w:sz w:val="22"/>
          <w:szCs w:val="22"/>
        </w:rPr>
        <w:t xml:space="preserve"> (maintaining the grant percentage and ensuring that it does not exceed the maximum</w:t>
      </w:r>
      <w:r w:rsidR="003F79B9" w:rsidRPr="00D2132A">
        <w:rPr>
          <w:rFonts w:ascii="Calibri" w:hAnsi="Calibri" w:cs="Calibri"/>
          <w:color w:val="auto"/>
          <w:sz w:val="22"/>
          <w:szCs w:val="22"/>
        </w:rPr>
        <w:t xml:space="preserve"> allowable)</w:t>
      </w:r>
      <w:r w:rsidRPr="00D2132A">
        <w:rPr>
          <w:rFonts w:ascii="Calibri" w:hAnsi="Calibri" w:cs="Calibri"/>
          <w:color w:val="auto"/>
          <w:sz w:val="22"/>
          <w:szCs w:val="22"/>
        </w:rPr>
        <w:t xml:space="preserve">. </w:t>
      </w:r>
      <w:r w:rsidR="005F60FB" w:rsidRPr="00D2132A">
        <w:rPr>
          <w:rFonts w:ascii="Calibri" w:hAnsi="Calibri" w:cs="Calibri"/>
          <w:color w:val="auto"/>
          <w:sz w:val="22"/>
          <w:szCs w:val="22"/>
        </w:rPr>
        <w:t>Asset sales will be regarded as reducing net project costs.</w:t>
      </w:r>
    </w:p>
    <w:p w14:paraId="09FF32D7" w14:textId="77777777" w:rsidR="003F79B9" w:rsidRPr="00D2132A" w:rsidRDefault="003F79B9" w:rsidP="00C2122D">
      <w:pPr>
        <w:pStyle w:val="Bodycopy"/>
        <w:jc w:val="both"/>
        <w:rPr>
          <w:rFonts w:ascii="Calibri" w:hAnsi="Calibri" w:cs="Calibri"/>
          <w:color w:val="auto"/>
          <w:sz w:val="22"/>
          <w:szCs w:val="22"/>
        </w:rPr>
      </w:pPr>
    </w:p>
    <w:p w14:paraId="55BDD460" w14:textId="068178E6" w:rsidR="000011CF" w:rsidRPr="00D2132A" w:rsidRDefault="000011CF" w:rsidP="00C2122D">
      <w:pPr>
        <w:pStyle w:val="Bodycopy"/>
        <w:jc w:val="both"/>
        <w:rPr>
          <w:rFonts w:ascii="Calibri" w:hAnsi="Calibri" w:cs="Calibri"/>
          <w:color w:val="auto"/>
          <w:sz w:val="22"/>
          <w:szCs w:val="22"/>
          <w:lang w:val="en-US"/>
        </w:rPr>
      </w:pPr>
      <w:r w:rsidRPr="00D2132A">
        <w:rPr>
          <w:rFonts w:ascii="Calibri" w:hAnsi="Calibri" w:cs="Calibri"/>
          <w:color w:val="auto"/>
          <w:sz w:val="22"/>
          <w:szCs w:val="22"/>
          <w:lang w:val="en-US"/>
        </w:rPr>
        <w:t xml:space="preserve">If a </w:t>
      </w:r>
      <w:r w:rsidR="003F304D" w:rsidRPr="00D2132A">
        <w:rPr>
          <w:rFonts w:ascii="Calibri" w:hAnsi="Calibri" w:cs="Calibri"/>
          <w:color w:val="auto"/>
          <w:sz w:val="22"/>
          <w:szCs w:val="22"/>
          <w:lang w:val="en-US"/>
        </w:rPr>
        <w:t>business</w:t>
      </w:r>
      <w:r w:rsidRPr="00D2132A">
        <w:rPr>
          <w:rFonts w:ascii="Calibri" w:hAnsi="Calibri" w:cs="Calibri"/>
          <w:color w:val="auto"/>
          <w:sz w:val="22"/>
          <w:szCs w:val="22"/>
          <w:lang w:val="en-US"/>
        </w:rPr>
        <w:t xml:space="preserve"> has failed to perform as well as could reasonably have</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been expected</w:t>
      </w:r>
      <w:r w:rsidR="001270BB"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or has made a deliberate decision to abandon a project</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in order to concentrate resources on other investment, or in obtaining</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assistance has unreasonably withheld information about difficulties being</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encountered, a greater clawback than indicated by the pro rata calculation</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 xml:space="preserve">should be considered. </w:t>
      </w:r>
      <w:r w:rsidR="0062071A" w:rsidRPr="00D2132A">
        <w:rPr>
          <w:rFonts w:ascii="Calibri" w:hAnsi="Calibri" w:cs="Calibri"/>
          <w:color w:val="auto"/>
          <w:sz w:val="22"/>
          <w:szCs w:val="22"/>
          <w:lang w:val="en-US"/>
        </w:rPr>
        <w:t>The m</w:t>
      </w:r>
      <w:r w:rsidRPr="00D2132A">
        <w:rPr>
          <w:rFonts w:ascii="Calibri" w:hAnsi="Calibri" w:cs="Calibri"/>
          <w:color w:val="auto"/>
          <w:sz w:val="22"/>
          <w:szCs w:val="22"/>
          <w:lang w:val="en-US"/>
        </w:rPr>
        <w:t xml:space="preserve">onitoring officer </w:t>
      </w:r>
      <w:r w:rsidR="0062071A" w:rsidRPr="00D2132A">
        <w:rPr>
          <w:rFonts w:ascii="Calibri" w:hAnsi="Calibri" w:cs="Calibri"/>
          <w:color w:val="auto"/>
          <w:sz w:val="22"/>
          <w:szCs w:val="22"/>
          <w:lang w:val="en-US"/>
        </w:rPr>
        <w:t xml:space="preserve">will </w:t>
      </w:r>
      <w:r w:rsidRPr="00D2132A">
        <w:rPr>
          <w:rFonts w:ascii="Calibri" w:hAnsi="Calibri" w:cs="Calibri"/>
          <w:color w:val="auto"/>
          <w:sz w:val="22"/>
          <w:szCs w:val="22"/>
          <w:lang w:val="en-US"/>
        </w:rPr>
        <w:t>assess whether all</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of the paid assistance should be reclaimed in these circumstances.</w:t>
      </w:r>
    </w:p>
    <w:p w14:paraId="6E894F9F" w14:textId="77777777" w:rsidR="00505989" w:rsidRPr="00D2132A" w:rsidRDefault="00505989" w:rsidP="00C2122D">
      <w:pPr>
        <w:pStyle w:val="Bodycopy"/>
        <w:jc w:val="both"/>
        <w:rPr>
          <w:rFonts w:ascii="Calibri" w:hAnsi="Calibri" w:cs="Calibri"/>
          <w:color w:val="auto"/>
          <w:sz w:val="22"/>
          <w:szCs w:val="22"/>
          <w:lang w:val="en-US"/>
        </w:rPr>
      </w:pPr>
    </w:p>
    <w:p w14:paraId="59259E5D" w14:textId="77777777" w:rsidR="00376620" w:rsidRPr="00D2132A" w:rsidRDefault="003F304D" w:rsidP="00C2122D">
      <w:pPr>
        <w:pStyle w:val="Bodycopy"/>
        <w:jc w:val="both"/>
        <w:rPr>
          <w:rFonts w:ascii="Calibri" w:hAnsi="Calibri" w:cs="Calibri"/>
          <w:color w:val="auto"/>
          <w:sz w:val="22"/>
          <w:szCs w:val="22"/>
          <w:lang w:val="en-US"/>
        </w:rPr>
      </w:pPr>
      <w:r w:rsidRPr="00D2132A">
        <w:rPr>
          <w:rFonts w:ascii="Calibri" w:hAnsi="Calibri" w:cs="Calibri"/>
          <w:color w:val="auto"/>
          <w:sz w:val="22"/>
          <w:szCs w:val="22"/>
          <w:lang w:val="en-US"/>
        </w:rPr>
        <w:t>If a business</w:t>
      </w:r>
      <w:r w:rsidR="000011CF" w:rsidRPr="00D2132A">
        <w:rPr>
          <w:rFonts w:ascii="Calibri" w:hAnsi="Calibri" w:cs="Calibri"/>
          <w:color w:val="auto"/>
          <w:sz w:val="22"/>
          <w:szCs w:val="22"/>
          <w:lang w:val="en-US"/>
        </w:rPr>
        <w:t xml:space="preserve"> is sold or if its ownership is otherwise transferred recovery of monies paid should only take place when the obligations of the offer letter (including all guarantees) cannot be novated to the purchaser.</w:t>
      </w:r>
      <w:bookmarkStart w:id="162" w:name="_Toc349307657"/>
      <w:bookmarkStart w:id="163" w:name="_Toc349307806"/>
      <w:bookmarkStart w:id="164" w:name="_Toc349308316"/>
      <w:bookmarkStart w:id="165" w:name="_Toc349308424"/>
      <w:bookmarkStart w:id="166" w:name="_Toc349308517"/>
    </w:p>
    <w:p w14:paraId="08A4C7E1" w14:textId="658E2EA3" w:rsidR="000011CF" w:rsidRPr="00D2132A" w:rsidRDefault="00A2250E" w:rsidP="00B439E3">
      <w:pPr>
        <w:pStyle w:val="TOC-Sub"/>
        <w:outlineLvl w:val="1"/>
        <w:rPr>
          <w:color w:val="auto"/>
          <w:lang w:val="en-US"/>
        </w:rPr>
      </w:pPr>
      <w:bookmarkStart w:id="167" w:name="_Toc152159688"/>
      <w:bookmarkStart w:id="168" w:name="_Toc157694466"/>
      <w:r w:rsidRPr="00D2132A">
        <w:rPr>
          <w:color w:val="auto"/>
        </w:rPr>
        <w:t>7</w:t>
      </w:r>
      <w:r w:rsidR="0062071A" w:rsidRPr="00D2132A">
        <w:rPr>
          <w:color w:val="auto"/>
        </w:rPr>
        <w:t>.</w:t>
      </w:r>
      <w:r w:rsidR="00C51B63" w:rsidRPr="00D2132A">
        <w:rPr>
          <w:color w:val="auto"/>
        </w:rPr>
        <w:t>7</w:t>
      </w:r>
      <w:r w:rsidR="0062071A" w:rsidRPr="00D2132A">
        <w:rPr>
          <w:color w:val="auto"/>
        </w:rPr>
        <w:tab/>
      </w:r>
      <w:r w:rsidR="000011CF" w:rsidRPr="00D2132A">
        <w:rPr>
          <w:color w:val="auto"/>
        </w:rPr>
        <w:t xml:space="preserve">Changes in the </w:t>
      </w:r>
      <w:r w:rsidR="0062071A" w:rsidRPr="00D2132A">
        <w:rPr>
          <w:color w:val="auto"/>
        </w:rPr>
        <w:t>N</w:t>
      </w:r>
      <w:r w:rsidR="000011CF" w:rsidRPr="00D2132A">
        <w:rPr>
          <w:color w:val="auto"/>
        </w:rPr>
        <w:t xml:space="preserve">ature of the </w:t>
      </w:r>
      <w:r w:rsidR="0062071A" w:rsidRPr="00D2132A">
        <w:rPr>
          <w:color w:val="auto"/>
        </w:rPr>
        <w:t>P</w:t>
      </w:r>
      <w:r w:rsidR="000011CF" w:rsidRPr="00D2132A">
        <w:rPr>
          <w:color w:val="auto"/>
        </w:rPr>
        <w:t>roject</w:t>
      </w:r>
      <w:bookmarkEnd w:id="162"/>
      <w:bookmarkEnd w:id="163"/>
      <w:bookmarkEnd w:id="164"/>
      <w:bookmarkEnd w:id="165"/>
      <w:bookmarkEnd w:id="166"/>
      <w:bookmarkEnd w:id="167"/>
      <w:bookmarkEnd w:id="168"/>
    </w:p>
    <w:p w14:paraId="3494AF66" w14:textId="393B1C8F" w:rsidR="000011CF" w:rsidRPr="00D2132A" w:rsidRDefault="000011CF" w:rsidP="00C2122D">
      <w:pPr>
        <w:pStyle w:val="Bodycopy"/>
        <w:jc w:val="both"/>
        <w:rPr>
          <w:rFonts w:ascii="Calibri" w:hAnsi="Calibri" w:cs="Calibri"/>
          <w:color w:val="auto"/>
          <w:sz w:val="22"/>
          <w:szCs w:val="22"/>
        </w:rPr>
      </w:pPr>
      <w:r w:rsidRPr="00D2132A">
        <w:rPr>
          <w:rFonts w:ascii="Calibri" w:hAnsi="Calibri" w:cs="Calibri"/>
          <w:color w:val="auto"/>
          <w:sz w:val="22"/>
          <w:szCs w:val="22"/>
        </w:rPr>
        <w:t>Where the nature of the project alters to such an extent that it effectively</w:t>
      </w:r>
      <w:r w:rsidR="00FD7477" w:rsidRPr="00D2132A">
        <w:rPr>
          <w:rFonts w:ascii="Calibri" w:hAnsi="Calibri" w:cs="Calibri"/>
          <w:color w:val="auto"/>
          <w:sz w:val="22"/>
          <w:szCs w:val="22"/>
        </w:rPr>
        <w:t xml:space="preserve"> </w:t>
      </w:r>
      <w:r w:rsidRPr="00D2132A">
        <w:rPr>
          <w:rFonts w:ascii="Calibri" w:hAnsi="Calibri" w:cs="Calibri"/>
          <w:color w:val="auto"/>
          <w:sz w:val="22"/>
          <w:szCs w:val="22"/>
        </w:rPr>
        <w:t>represents a different project from that originally considered, a view will</w:t>
      </w:r>
      <w:r w:rsidR="00FD7477" w:rsidRPr="00D2132A">
        <w:rPr>
          <w:rFonts w:ascii="Calibri" w:hAnsi="Calibri" w:cs="Calibri"/>
          <w:color w:val="auto"/>
          <w:sz w:val="22"/>
          <w:szCs w:val="22"/>
        </w:rPr>
        <w:t xml:space="preserve"> </w:t>
      </w:r>
      <w:r w:rsidRPr="00D2132A">
        <w:rPr>
          <w:rFonts w:ascii="Calibri" w:hAnsi="Calibri" w:cs="Calibri"/>
          <w:color w:val="auto"/>
          <w:sz w:val="22"/>
          <w:szCs w:val="22"/>
        </w:rPr>
        <w:t xml:space="preserve">need to be taken </w:t>
      </w:r>
      <w:r w:rsidR="0062071A" w:rsidRPr="00D2132A">
        <w:rPr>
          <w:rFonts w:ascii="Calibri" w:hAnsi="Calibri" w:cs="Calibri"/>
          <w:color w:val="auto"/>
          <w:sz w:val="22"/>
          <w:szCs w:val="22"/>
        </w:rPr>
        <w:t xml:space="preserve">by the Chamber, and potentially the Panel, </w:t>
      </w:r>
      <w:r w:rsidRPr="00D2132A">
        <w:rPr>
          <w:rFonts w:ascii="Calibri" w:hAnsi="Calibri" w:cs="Calibri"/>
          <w:color w:val="auto"/>
          <w:sz w:val="22"/>
          <w:szCs w:val="22"/>
        </w:rPr>
        <w:t xml:space="preserve">as to whether the revised project qualifies for </w:t>
      </w:r>
      <w:r w:rsidR="00E20D62">
        <w:rPr>
          <w:rFonts w:ascii="Calibri" w:hAnsi="Calibri" w:cs="Calibri"/>
          <w:color w:val="auto"/>
          <w:sz w:val="22"/>
          <w:szCs w:val="22"/>
        </w:rPr>
        <w:t>UK SPF</w:t>
      </w:r>
      <w:r w:rsidR="00F87A7D" w:rsidRPr="00D2132A">
        <w:rPr>
          <w:rFonts w:ascii="Calibri" w:hAnsi="Calibri" w:cs="Calibri"/>
          <w:color w:val="auto"/>
          <w:sz w:val="22"/>
          <w:szCs w:val="22"/>
        </w:rPr>
        <w:t xml:space="preserve"> Grant</w:t>
      </w:r>
      <w:r w:rsidRPr="00D2132A">
        <w:rPr>
          <w:rFonts w:ascii="Calibri" w:hAnsi="Calibri" w:cs="Calibri"/>
          <w:color w:val="auto"/>
          <w:sz w:val="22"/>
          <w:szCs w:val="22"/>
        </w:rPr>
        <w:t>.</w:t>
      </w:r>
      <w:r w:rsidR="00FD7477" w:rsidRPr="00D2132A">
        <w:rPr>
          <w:rFonts w:ascii="Calibri" w:hAnsi="Calibri" w:cs="Calibri"/>
          <w:color w:val="auto"/>
          <w:sz w:val="22"/>
          <w:szCs w:val="22"/>
        </w:rPr>
        <w:t xml:space="preserve"> </w:t>
      </w:r>
      <w:r w:rsidRPr="00D2132A">
        <w:rPr>
          <w:rFonts w:ascii="Calibri" w:hAnsi="Calibri" w:cs="Calibri"/>
          <w:color w:val="auto"/>
          <w:sz w:val="22"/>
          <w:szCs w:val="22"/>
        </w:rPr>
        <w:t>Examples of this situation</w:t>
      </w:r>
      <w:r w:rsidR="00FD7477" w:rsidRPr="00D2132A">
        <w:rPr>
          <w:rFonts w:ascii="Calibri" w:hAnsi="Calibri" w:cs="Calibri"/>
          <w:color w:val="auto"/>
          <w:sz w:val="22"/>
          <w:szCs w:val="22"/>
        </w:rPr>
        <w:t xml:space="preserve"> </w:t>
      </w:r>
      <w:r w:rsidRPr="00D2132A">
        <w:rPr>
          <w:rFonts w:ascii="Calibri" w:hAnsi="Calibri" w:cs="Calibri"/>
          <w:color w:val="auto"/>
          <w:sz w:val="22"/>
          <w:szCs w:val="22"/>
        </w:rPr>
        <w:t xml:space="preserve">include a </w:t>
      </w:r>
      <w:r w:rsidR="003F304D" w:rsidRPr="00D2132A">
        <w:rPr>
          <w:rFonts w:ascii="Calibri" w:hAnsi="Calibri" w:cs="Calibri"/>
          <w:color w:val="auto"/>
          <w:sz w:val="22"/>
          <w:szCs w:val="22"/>
        </w:rPr>
        <w:t xml:space="preserve">business </w:t>
      </w:r>
      <w:r w:rsidRPr="00D2132A">
        <w:rPr>
          <w:rFonts w:ascii="Calibri" w:hAnsi="Calibri" w:cs="Calibri"/>
          <w:color w:val="auto"/>
          <w:sz w:val="22"/>
          <w:szCs w:val="22"/>
        </w:rPr>
        <w:t xml:space="preserve">choosing to </w:t>
      </w:r>
      <w:r w:rsidR="00A2250E" w:rsidRPr="00D2132A">
        <w:rPr>
          <w:rFonts w:ascii="Calibri" w:hAnsi="Calibri" w:cs="Calibri"/>
          <w:color w:val="auto"/>
          <w:sz w:val="22"/>
          <w:szCs w:val="22"/>
        </w:rPr>
        <w:t>produce</w:t>
      </w:r>
      <w:r w:rsidRPr="00D2132A">
        <w:rPr>
          <w:rFonts w:ascii="Calibri" w:hAnsi="Calibri" w:cs="Calibri"/>
          <w:color w:val="auto"/>
          <w:sz w:val="22"/>
          <w:szCs w:val="22"/>
        </w:rPr>
        <w:t xml:space="preserve"> a different product</w:t>
      </w:r>
      <w:r w:rsidR="003F304D" w:rsidRPr="00D2132A">
        <w:rPr>
          <w:rFonts w:ascii="Calibri" w:hAnsi="Calibri" w:cs="Calibri"/>
          <w:color w:val="auto"/>
          <w:sz w:val="22"/>
          <w:szCs w:val="22"/>
        </w:rPr>
        <w:t>,</w:t>
      </w:r>
      <w:r w:rsidRPr="00D2132A">
        <w:rPr>
          <w:rFonts w:ascii="Calibri" w:hAnsi="Calibri" w:cs="Calibri"/>
          <w:color w:val="auto"/>
          <w:sz w:val="22"/>
          <w:szCs w:val="22"/>
        </w:rPr>
        <w:t xml:space="preserve"> failing to purchase a key piece of equipment as described in the</w:t>
      </w:r>
      <w:r w:rsidR="00970380" w:rsidRPr="00D2132A">
        <w:rPr>
          <w:rFonts w:ascii="Calibri" w:hAnsi="Calibri" w:cs="Calibri"/>
          <w:color w:val="auto"/>
          <w:sz w:val="22"/>
          <w:szCs w:val="22"/>
        </w:rPr>
        <w:t xml:space="preserve"> </w:t>
      </w:r>
      <w:r w:rsidRPr="00D2132A">
        <w:rPr>
          <w:rFonts w:ascii="Calibri" w:hAnsi="Calibri" w:cs="Calibri"/>
          <w:color w:val="auto"/>
          <w:sz w:val="22"/>
          <w:szCs w:val="22"/>
        </w:rPr>
        <w:t>original application</w:t>
      </w:r>
      <w:r w:rsidR="003F304D" w:rsidRPr="00D2132A">
        <w:rPr>
          <w:rFonts w:ascii="Calibri" w:hAnsi="Calibri" w:cs="Calibri"/>
          <w:color w:val="auto"/>
          <w:sz w:val="22"/>
          <w:szCs w:val="22"/>
        </w:rPr>
        <w:t xml:space="preserve"> o</w:t>
      </w:r>
      <w:r w:rsidRPr="00D2132A">
        <w:rPr>
          <w:rFonts w:ascii="Calibri" w:hAnsi="Calibri" w:cs="Calibri"/>
          <w:color w:val="auto"/>
          <w:sz w:val="22"/>
          <w:szCs w:val="22"/>
        </w:rPr>
        <w:t>r altering the general scale of a project.</w:t>
      </w:r>
      <w:r w:rsidR="0062071A" w:rsidRPr="00D2132A">
        <w:rPr>
          <w:rFonts w:ascii="Calibri" w:hAnsi="Calibri" w:cs="Calibri"/>
          <w:color w:val="auto"/>
          <w:sz w:val="22"/>
          <w:szCs w:val="22"/>
        </w:rPr>
        <w:t xml:space="preserve"> It may be appropriate to agree a variation of the original offer letter, however depending on the changes a new application may be more appropriate.</w:t>
      </w:r>
    </w:p>
    <w:p w14:paraId="22A4403A" w14:textId="0AD224B0" w:rsidR="000011CF" w:rsidRPr="00D2132A" w:rsidRDefault="00A2250E" w:rsidP="00B439E3">
      <w:pPr>
        <w:pStyle w:val="TOC-Sub"/>
        <w:outlineLvl w:val="1"/>
        <w:rPr>
          <w:color w:val="auto"/>
        </w:rPr>
      </w:pPr>
      <w:bookmarkStart w:id="169" w:name="_Toc349307658"/>
      <w:bookmarkStart w:id="170" w:name="_Toc349307807"/>
      <w:bookmarkStart w:id="171" w:name="_Toc349308317"/>
      <w:bookmarkStart w:id="172" w:name="_Toc349308425"/>
      <w:bookmarkStart w:id="173" w:name="_Toc349308518"/>
      <w:bookmarkStart w:id="174" w:name="_Toc152159689"/>
      <w:bookmarkStart w:id="175" w:name="_Toc157694467"/>
      <w:r w:rsidRPr="00D2132A">
        <w:rPr>
          <w:color w:val="auto"/>
        </w:rPr>
        <w:t>7</w:t>
      </w:r>
      <w:r w:rsidR="0062071A" w:rsidRPr="00D2132A">
        <w:rPr>
          <w:color w:val="auto"/>
        </w:rPr>
        <w:t>.</w:t>
      </w:r>
      <w:r w:rsidR="00C51B63" w:rsidRPr="00D2132A">
        <w:rPr>
          <w:color w:val="auto"/>
        </w:rPr>
        <w:t>8</w:t>
      </w:r>
      <w:r w:rsidR="0062071A" w:rsidRPr="00D2132A">
        <w:rPr>
          <w:color w:val="auto"/>
        </w:rPr>
        <w:tab/>
      </w:r>
      <w:r w:rsidR="000011CF" w:rsidRPr="00D2132A">
        <w:rPr>
          <w:color w:val="auto"/>
        </w:rPr>
        <w:t xml:space="preserve">Changes in </w:t>
      </w:r>
      <w:r w:rsidR="0062071A" w:rsidRPr="00D2132A">
        <w:rPr>
          <w:color w:val="auto"/>
        </w:rPr>
        <w:t>F</w:t>
      </w:r>
      <w:r w:rsidR="000011CF" w:rsidRPr="00D2132A">
        <w:rPr>
          <w:color w:val="auto"/>
        </w:rPr>
        <w:t>inancing</w:t>
      </w:r>
      <w:bookmarkEnd w:id="169"/>
      <w:bookmarkEnd w:id="170"/>
      <w:bookmarkEnd w:id="171"/>
      <w:bookmarkEnd w:id="172"/>
      <w:bookmarkEnd w:id="173"/>
      <w:bookmarkEnd w:id="174"/>
      <w:bookmarkEnd w:id="175"/>
    </w:p>
    <w:p w14:paraId="0CCB5023" w14:textId="05E74AEB" w:rsidR="00376620" w:rsidRPr="00D2132A" w:rsidRDefault="000011CF" w:rsidP="00C2122D">
      <w:pPr>
        <w:pStyle w:val="Bodycopy"/>
        <w:jc w:val="both"/>
        <w:rPr>
          <w:rFonts w:ascii="Calibri" w:hAnsi="Calibri" w:cs="Calibri"/>
          <w:color w:val="auto"/>
          <w:sz w:val="22"/>
          <w:szCs w:val="22"/>
          <w:lang w:val="en-US"/>
        </w:rPr>
      </w:pPr>
      <w:r w:rsidRPr="00D2132A">
        <w:rPr>
          <w:rFonts w:ascii="Calibri" w:hAnsi="Calibri" w:cs="Calibri"/>
          <w:color w:val="auto"/>
          <w:sz w:val="22"/>
          <w:szCs w:val="22"/>
          <w:lang w:val="en-US"/>
        </w:rPr>
        <w:t xml:space="preserve">In some cases, the project may proceed as planned but the </w:t>
      </w:r>
      <w:r w:rsidR="003F304D" w:rsidRPr="00D2132A">
        <w:rPr>
          <w:rFonts w:ascii="Calibri" w:hAnsi="Calibri" w:cs="Calibri"/>
          <w:color w:val="auto"/>
          <w:sz w:val="22"/>
          <w:szCs w:val="22"/>
          <w:lang w:val="en-US"/>
        </w:rPr>
        <w:t xml:space="preserve">business </w:t>
      </w:r>
      <w:r w:rsidRPr="00D2132A">
        <w:rPr>
          <w:rFonts w:ascii="Calibri" w:hAnsi="Calibri" w:cs="Calibri"/>
          <w:color w:val="auto"/>
          <w:sz w:val="22"/>
          <w:szCs w:val="22"/>
          <w:lang w:val="en-US"/>
        </w:rPr>
        <w:t>may decide, after the offer of</w:t>
      </w:r>
      <w:r w:rsidR="00505989" w:rsidRPr="00D2132A">
        <w:rPr>
          <w:rFonts w:ascii="Calibri" w:hAnsi="Calibri" w:cs="Calibri"/>
          <w:color w:val="auto"/>
          <w:sz w:val="22"/>
          <w:szCs w:val="22"/>
          <w:lang w:val="en-US"/>
        </w:rPr>
        <w:t xml:space="preserve"> </w:t>
      </w:r>
      <w:r w:rsidR="00E20D62">
        <w:rPr>
          <w:rFonts w:ascii="Calibri" w:hAnsi="Calibri" w:cs="Calibri"/>
          <w:color w:val="auto"/>
          <w:sz w:val="22"/>
          <w:szCs w:val="22"/>
          <w:lang w:val="en-US"/>
        </w:rPr>
        <w:t>UK SPF</w:t>
      </w:r>
      <w:r w:rsidR="003C413F" w:rsidRPr="00D2132A">
        <w:rPr>
          <w:rFonts w:ascii="Calibri" w:hAnsi="Calibri" w:cs="Calibri"/>
          <w:color w:val="auto"/>
          <w:sz w:val="22"/>
          <w:szCs w:val="22"/>
          <w:lang w:val="en-US"/>
        </w:rPr>
        <w:t xml:space="preserve"> Grant</w:t>
      </w:r>
      <w:r w:rsidR="00505989"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has been made, to change the basis</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 xml:space="preserve">on which it is financed </w:t>
      </w:r>
      <w:r w:rsidR="003F304D" w:rsidRPr="00D2132A">
        <w:rPr>
          <w:rFonts w:ascii="Calibri" w:hAnsi="Calibri" w:cs="Calibri"/>
          <w:color w:val="auto"/>
          <w:sz w:val="22"/>
          <w:szCs w:val="22"/>
          <w:lang w:val="en-US"/>
        </w:rPr>
        <w:t>–</w:t>
      </w:r>
      <w:r w:rsidRPr="00D2132A">
        <w:rPr>
          <w:rFonts w:ascii="Calibri" w:hAnsi="Calibri" w:cs="Calibri"/>
          <w:color w:val="auto"/>
          <w:sz w:val="22"/>
          <w:szCs w:val="22"/>
          <w:lang w:val="en-US"/>
        </w:rPr>
        <w:t xml:space="preserve"> </w:t>
      </w:r>
      <w:r w:rsidR="003F304D" w:rsidRPr="00D2132A">
        <w:rPr>
          <w:rFonts w:ascii="Calibri" w:hAnsi="Calibri" w:cs="Calibri"/>
          <w:color w:val="auto"/>
          <w:sz w:val="22"/>
          <w:szCs w:val="22"/>
          <w:lang w:val="en-US"/>
        </w:rPr>
        <w:t xml:space="preserve">for example </w:t>
      </w:r>
      <w:r w:rsidRPr="00D2132A">
        <w:rPr>
          <w:rFonts w:ascii="Calibri" w:hAnsi="Calibri" w:cs="Calibri"/>
          <w:color w:val="auto"/>
          <w:sz w:val="22"/>
          <w:szCs w:val="22"/>
          <w:lang w:val="en-US"/>
        </w:rPr>
        <w:t>acquiring under hire purchase or</w:t>
      </w:r>
      <w:r w:rsidR="00FD7477" w:rsidRPr="00D2132A">
        <w:rPr>
          <w:rFonts w:ascii="Calibri" w:hAnsi="Calibri" w:cs="Calibri"/>
          <w:color w:val="auto"/>
          <w:sz w:val="22"/>
          <w:szCs w:val="22"/>
          <w:lang w:val="en-US"/>
        </w:rPr>
        <w:t xml:space="preserve"> </w:t>
      </w:r>
      <w:r w:rsidR="004D3074">
        <w:rPr>
          <w:rFonts w:ascii="Calibri" w:hAnsi="Calibri" w:cs="Calibri"/>
          <w:color w:val="auto"/>
          <w:sz w:val="22"/>
          <w:szCs w:val="22"/>
          <w:lang w:val="en-US"/>
        </w:rPr>
        <w:t xml:space="preserve">an </w:t>
      </w:r>
      <w:r w:rsidRPr="00D2132A">
        <w:rPr>
          <w:rFonts w:ascii="Calibri" w:hAnsi="Calibri" w:cs="Calibri"/>
          <w:color w:val="auto"/>
          <w:sz w:val="22"/>
          <w:szCs w:val="22"/>
          <w:lang w:val="en-US"/>
        </w:rPr>
        <w:t>extended credit agreement assets which it had intended to purchase</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 xml:space="preserve">outright. In such cases, the monitoring officer </w:t>
      </w:r>
      <w:r w:rsidR="0062071A" w:rsidRPr="00D2132A">
        <w:rPr>
          <w:rFonts w:ascii="Calibri" w:hAnsi="Calibri" w:cs="Calibri"/>
          <w:color w:val="auto"/>
          <w:sz w:val="22"/>
          <w:szCs w:val="22"/>
          <w:lang w:val="en-US"/>
        </w:rPr>
        <w:t xml:space="preserve">will </w:t>
      </w:r>
      <w:r w:rsidRPr="00D2132A">
        <w:rPr>
          <w:rFonts w:ascii="Calibri" w:hAnsi="Calibri" w:cs="Calibri"/>
          <w:color w:val="auto"/>
          <w:sz w:val="22"/>
          <w:szCs w:val="22"/>
          <w:lang w:val="en-US"/>
        </w:rPr>
        <w:t xml:space="preserve"> consider the</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 xml:space="preserve">implications of the revised arrangements for the project and the </w:t>
      </w:r>
      <w:r w:rsidR="003F304D" w:rsidRPr="00D2132A">
        <w:rPr>
          <w:rFonts w:ascii="Calibri" w:hAnsi="Calibri" w:cs="Calibri"/>
          <w:color w:val="auto"/>
          <w:sz w:val="22"/>
          <w:szCs w:val="22"/>
          <w:lang w:val="en-US"/>
        </w:rPr>
        <w:t>business</w:t>
      </w:r>
      <w:r w:rsidRPr="00D2132A">
        <w:rPr>
          <w:rFonts w:ascii="Calibri" w:hAnsi="Calibri" w:cs="Calibri"/>
          <w:color w:val="auto"/>
          <w:sz w:val="22"/>
          <w:szCs w:val="22"/>
          <w:lang w:val="en-US"/>
        </w:rPr>
        <w:t>.</w:t>
      </w:r>
      <w:r w:rsidR="0062071A"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For example, the change in financing arrangement may be an indication</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 xml:space="preserve">that the </w:t>
      </w:r>
      <w:r w:rsidR="003F304D" w:rsidRPr="00D2132A">
        <w:rPr>
          <w:rFonts w:ascii="Calibri" w:hAnsi="Calibri" w:cs="Calibri"/>
          <w:color w:val="auto"/>
          <w:sz w:val="22"/>
          <w:szCs w:val="22"/>
          <w:lang w:val="en-US"/>
        </w:rPr>
        <w:t>business</w:t>
      </w:r>
      <w:r w:rsidRPr="00D2132A">
        <w:rPr>
          <w:rFonts w:ascii="Calibri" w:hAnsi="Calibri" w:cs="Calibri"/>
          <w:color w:val="auto"/>
          <w:sz w:val="22"/>
          <w:szCs w:val="22"/>
          <w:lang w:val="en-US"/>
        </w:rPr>
        <w:t xml:space="preserve"> has cash flow problems which it is attempting to control</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by spreading capital payments over a longer period. The monitoring</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 xml:space="preserve">officer </w:t>
      </w:r>
      <w:r w:rsidR="0062071A" w:rsidRPr="00D2132A">
        <w:rPr>
          <w:rFonts w:ascii="Calibri" w:hAnsi="Calibri" w:cs="Calibri"/>
          <w:color w:val="auto"/>
          <w:sz w:val="22"/>
          <w:szCs w:val="22"/>
          <w:lang w:val="en-US"/>
        </w:rPr>
        <w:t xml:space="preserve">will </w:t>
      </w:r>
      <w:r w:rsidRPr="00D2132A">
        <w:rPr>
          <w:rFonts w:ascii="Calibri" w:hAnsi="Calibri" w:cs="Calibri"/>
          <w:color w:val="auto"/>
          <w:sz w:val="22"/>
          <w:szCs w:val="22"/>
          <w:lang w:val="en-US"/>
        </w:rPr>
        <w:t>determine whether the offer is still the minimum required</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to secure the project or whether it should be reduced to take account of</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 xml:space="preserve">any benefits to the </w:t>
      </w:r>
      <w:r w:rsidR="003F304D" w:rsidRPr="00D2132A">
        <w:rPr>
          <w:rFonts w:ascii="Calibri" w:hAnsi="Calibri" w:cs="Calibri"/>
          <w:color w:val="auto"/>
          <w:sz w:val="22"/>
          <w:szCs w:val="22"/>
          <w:lang w:val="en-US"/>
        </w:rPr>
        <w:t xml:space="preserve">business </w:t>
      </w:r>
      <w:r w:rsidRPr="00D2132A">
        <w:rPr>
          <w:rFonts w:ascii="Calibri" w:hAnsi="Calibri" w:cs="Calibri"/>
          <w:color w:val="auto"/>
          <w:sz w:val="22"/>
          <w:szCs w:val="22"/>
          <w:lang w:val="en-US"/>
        </w:rPr>
        <w:t>arising from the revised arrangements. The</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standard offer letter contains a provision for such reconsideration.</w:t>
      </w:r>
      <w:r w:rsidR="0062071A" w:rsidRPr="00D2132A">
        <w:rPr>
          <w:rFonts w:ascii="Calibri" w:hAnsi="Calibri" w:cs="Calibri"/>
          <w:color w:val="auto"/>
          <w:sz w:val="22"/>
          <w:szCs w:val="22"/>
          <w:lang w:val="en-US"/>
        </w:rPr>
        <w:t xml:space="preserve"> </w:t>
      </w:r>
      <w:bookmarkStart w:id="176" w:name="_Toc349307659"/>
      <w:bookmarkStart w:id="177" w:name="_Toc349307808"/>
      <w:bookmarkStart w:id="178" w:name="_Toc349308318"/>
      <w:bookmarkStart w:id="179" w:name="_Toc349308426"/>
      <w:bookmarkStart w:id="180" w:name="_Toc349308519"/>
    </w:p>
    <w:p w14:paraId="4A4BA0EA" w14:textId="440C26AE" w:rsidR="000011CF" w:rsidRPr="00D2132A" w:rsidRDefault="00A2250E" w:rsidP="00B439E3">
      <w:pPr>
        <w:pStyle w:val="TOC-Sub"/>
        <w:outlineLvl w:val="1"/>
        <w:rPr>
          <w:color w:val="auto"/>
          <w:lang w:val="en-US"/>
        </w:rPr>
      </w:pPr>
      <w:bookmarkStart w:id="181" w:name="_Toc152159690"/>
      <w:bookmarkStart w:id="182" w:name="_Toc157694468"/>
      <w:r w:rsidRPr="00D2132A">
        <w:rPr>
          <w:color w:val="auto"/>
        </w:rPr>
        <w:t>7</w:t>
      </w:r>
      <w:r w:rsidR="0062071A" w:rsidRPr="00D2132A">
        <w:rPr>
          <w:color w:val="auto"/>
        </w:rPr>
        <w:t>.</w:t>
      </w:r>
      <w:r w:rsidR="00C51B63" w:rsidRPr="00D2132A">
        <w:rPr>
          <w:color w:val="auto"/>
        </w:rPr>
        <w:t>9</w:t>
      </w:r>
      <w:r w:rsidR="0062071A" w:rsidRPr="00D2132A">
        <w:rPr>
          <w:color w:val="auto"/>
        </w:rPr>
        <w:tab/>
      </w:r>
      <w:r w:rsidR="000011CF" w:rsidRPr="00D2132A">
        <w:rPr>
          <w:color w:val="auto"/>
        </w:rPr>
        <w:t xml:space="preserve">Changes in </w:t>
      </w:r>
      <w:r w:rsidRPr="00D2132A">
        <w:rPr>
          <w:color w:val="auto"/>
        </w:rPr>
        <w:t>O</w:t>
      </w:r>
      <w:r w:rsidR="000011CF" w:rsidRPr="00D2132A">
        <w:rPr>
          <w:color w:val="auto"/>
        </w:rPr>
        <w:t>wnership</w:t>
      </w:r>
      <w:bookmarkEnd w:id="176"/>
      <w:bookmarkEnd w:id="177"/>
      <w:bookmarkEnd w:id="178"/>
      <w:bookmarkEnd w:id="179"/>
      <w:bookmarkEnd w:id="180"/>
      <w:bookmarkEnd w:id="181"/>
      <w:bookmarkEnd w:id="182"/>
      <w:r w:rsidR="0062071A" w:rsidRPr="00D2132A">
        <w:rPr>
          <w:color w:val="auto"/>
        </w:rPr>
        <w:t xml:space="preserve"> </w:t>
      </w:r>
    </w:p>
    <w:p w14:paraId="52691569" w14:textId="719755B1" w:rsidR="000011CF" w:rsidRPr="00D2132A" w:rsidRDefault="000011CF" w:rsidP="00F434A8">
      <w:pPr>
        <w:pStyle w:val="Bodycopy"/>
        <w:jc w:val="both"/>
        <w:rPr>
          <w:rFonts w:ascii="Calibri" w:hAnsi="Calibri" w:cs="Calibri"/>
          <w:color w:val="auto"/>
          <w:sz w:val="22"/>
          <w:szCs w:val="22"/>
          <w:lang w:val="en-US"/>
        </w:rPr>
      </w:pPr>
      <w:r w:rsidRPr="00D2132A">
        <w:rPr>
          <w:rFonts w:ascii="Calibri" w:hAnsi="Calibri" w:cs="Calibri"/>
          <w:color w:val="auto"/>
          <w:sz w:val="22"/>
          <w:szCs w:val="22"/>
          <w:lang w:val="en-US"/>
        </w:rPr>
        <w:t>The implicatio</w:t>
      </w:r>
      <w:r w:rsidR="00FD7477" w:rsidRPr="00D2132A">
        <w:rPr>
          <w:rFonts w:ascii="Calibri" w:hAnsi="Calibri" w:cs="Calibri"/>
          <w:color w:val="auto"/>
          <w:sz w:val="22"/>
          <w:szCs w:val="22"/>
          <w:lang w:val="en-US"/>
        </w:rPr>
        <w:t xml:space="preserve">ns for the project of any change </w:t>
      </w:r>
      <w:r w:rsidRPr="00D2132A">
        <w:rPr>
          <w:rFonts w:ascii="Calibri" w:hAnsi="Calibri" w:cs="Calibri"/>
          <w:color w:val="auto"/>
          <w:sz w:val="22"/>
          <w:szCs w:val="22"/>
          <w:lang w:val="en-US"/>
        </w:rPr>
        <w:t xml:space="preserve">in </w:t>
      </w:r>
      <w:r w:rsidR="003F304D" w:rsidRPr="00D2132A">
        <w:rPr>
          <w:rFonts w:ascii="Calibri" w:hAnsi="Calibri" w:cs="Calibri"/>
          <w:color w:val="auto"/>
          <w:sz w:val="22"/>
          <w:szCs w:val="22"/>
          <w:lang w:val="en-US"/>
        </w:rPr>
        <w:t>business</w:t>
      </w:r>
      <w:r w:rsidRPr="00D2132A">
        <w:rPr>
          <w:rFonts w:ascii="Calibri" w:hAnsi="Calibri" w:cs="Calibri"/>
          <w:color w:val="auto"/>
          <w:sz w:val="22"/>
          <w:szCs w:val="22"/>
          <w:lang w:val="en-US"/>
        </w:rPr>
        <w:t xml:space="preserve"> ownership </w:t>
      </w:r>
      <w:r w:rsidR="00A2250E" w:rsidRPr="00D2132A">
        <w:rPr>
          <w:rFonts w:ascii="Calibri" w:hAnsi="Calibri" w:cs="Calibri"/>
          <w:color w:val="auto"/>
          <w:sz w:val="22"/>
          <w:szCs w:val="22"/>
          <w:lang w:val="en-US"/>
        </w:rPr>
        <w:t>will be reviewed</w:t>
      </w:r>
      <w:r w:rsidRPr="00D2132A">
        <w:rPr>
          <w:rFonts w:ascii="Calibri" w:hAnsi="Calibri" w:cs="Calibri"/>
          <w:color w:val="auto"/>
          <w:sz w:val="22"/>
          <w:szCs w:val="22"/>
          <w:lang w:val="en-US"/>
        </w:rPr>
        <w:t xml:space="preserve"> by the monitoring officer. In</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particular an assessment of the viability of the project going forward</w:t>
      </w:r>
      <w:r w:rsidR="00A2250E" w:rsidRPr="00D2132A">
        <w:rPr>
          <w:rFonts w:ascii="Calibri" w:hAnsi="Calibri" w:cs="Calibri"/>
          <w:color w:val="auto"/>
          <w:sz w:val="22"/>
          <w:szCs w:val="22"/>
          <w:lang w:val="en-US"/>
        </w:rPr>
        <w:t>.</w:t>
      </w:r>
    </w:p>
    <w:p w14:paraId="24674645" w14:textId="77777777" w:rsidR="00505989" w:rsidRPr="00D2132A" w:rsidRDefault="00505989" w:rsidP="00F434A8">
      <w:pPr>
        <w:pStyle w:val="Bodycopy"/>
        <w:jc w:val="both"/>
        <w:rPr>
          <w:rFonts w:ascii="Calibri" w:hAnsi="Calibri" w:cs="Calibri"/>
          <w:color w:val="auto"/>
          <w:sz w:val="22"/>
          <w:szCs w:val="22"/>
          <w:lang w:val="en-US"/>
        </w:rPr>
      </w:pPr>
    </w:p>
    <w:p w14:paraId="28FF98D7" w14:textId="3310AC8E" w:rsidR="000011CF" w:rsidRPr="00D2132A" w:rsidRDefault="000011CF" w:rsidP="00F434A8">
      <w:pPr>
        <w:pStyle w:val="Bodycopy"/>
        <w:jc w:val="both"/>
        <w:rPr>
          <w:rFonts w:ascii="Calibri" w:hAnsi="Calibri" w:cs="Calibri"/>
          <w:color w:val="auto"/>
          <w:sz w:val="22"/>
          <w:szCs w:val="22"/>
          <w:lang w:val="en-US"/>
        </w:rPr>
      </w:pPr>
      <w:r w:rsidRPr="00D2132A">
        <w:rPr>
          <w:rFonts w:ascii="Calibri" w:hAnsi="Calibri" w:cs="Calibri"/>
          <w:color w:val="auto"/>
          <w:sz w:val="22"/>
          <w:szCs w:val="22"/>
          <w:lang w:val="en-US"/>
        </w:rPr>
        <w:t>If a</w:t>
      </w:r>
      <w:r w:rsidR="0062071A" w:rsidRPr="00D2132A">
        <w:rPr>
          <w:rFonts w:ascii="Calibri" w:hAnsi="Calibri" w:cs="Calibri"/>
          <w:color w:val="auto"/>
          <w:sz w:val="22"/>
          <w:szCs w:val="22"/>
          <w:lang w:val="en-US"/>
        </w:rPr>
        <w:t>n</w:t>
      </w:r>
      <w:r w:rsidR="000F5D45" w:rsidRPr="00D2132A">
        <w:rPr>
          <w:rFonts w:ascii="Calibri" w:hAnsi="Calibri" w:cs="Calibri"/>
          <w:color w:val="auto"/>
          <w:sz w:val="22"/>
          <w:szCs w:val="22"/>
          <w:lang w:val="en-US"/>
        </w:rPr>
        <w:t xml:space="preserve"> </w:t>
      </w:r>
      <w:r w:rsidR="00E20D62">
        <w:rPr>
          <w:rFonts w:ascii="Calibri" w:hAnsi="Calibri" w:cs="Calibri"/>
          <w:color w:val="auto"/>
          <w:sz w:val="22"/>
          <w:szCs w:val="22"/>
          <w:lang w:val="en-US"/>
        </w:rPr>
        <w:t>UK SPF</w:t>
      </w:r>
      <w:r w:rsidRPr="00D2132A">
        <w:rPr>
          <w:rFonts w:ascii="Calibri" w:hAnsi="Calibri" w:cs="Calibri"/>
          <w:color w:val="auto"/>
          <w:sz w:val="22"/>
          <w:szCs w:val="22"/>
          <w:lang w:val="en-US"/>
        </w:rPr>
        <w:t xml:space="preserve"> </w:t>
      </w:r>
      <w:r w:rsidR="00BD5FAB" w:rsidRPr="00D2132A">
        <w:rPr>
          <w:rFonts w:ascii="Calibri" w:hAnsi="Calibri" w:cs="Calibri"/>
          <w:color w:val="auto"/>
          <w:sz w:val="22"/>
          <w:szCs w:val="22"/>
          <w:lang w:val="en-US"/>
        </w:rPr>
        <w:t>G</w:t>
      </w:r>
      <w:r w:rsidRPr="00D2132A">
        <w:rPr>
          <w:rFonts w:ascii="Calibri" w:hAnsi="Calibri" w:cs="Calibri"/>
          <w:color w:val="auto"/>
          <w:sz w:val="22"/>
          <w:szCs w:val="22"/>
          <w:lang w:val="en-US"/>
        </w:rPr>
        <w:t xml:space="preserve">rant is to be novated it is normal for the purchasing </w:t>
      </w:r>
      <w:r w:rsidR="003F304D" w:rsidRPr="00D2132A">
        <w:rPr>
          <w:rFonts w:ascii="Calibri" w:hAnsi="Calibri" w:cs="Calibri"/>
          <w:color w:val="auto"/>
          <w:sz w:val="22"/>
          <w:szCs w:val="22"/>
          <w:lang w:val="en-US"/>
        </w:rPr>
        <w:t xml:space="preserve">business </w:t>
      </w:r>
      <w:r w:rsidRPr="00D2132A">
        <w:rPr>
          <w:rFonts w:ascii="Calibri" w:hAnsi="Calibri" w:cs="Calibri"/>
          <w:color w:val="auto"/>
          <w:sz w:val="22"/>
          <w:szCs w:val="22"/>
          <w:lang w:val="en-US"/>
        </w:rPr>
        <w:t>to “step into the shoes’’ of the vendor and take on all the obligations</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associated with the grant. In these circumstances it is not normally</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appropriate to withhold assistance to a new owner because they may</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have, for example, sufficient funds to carry out a project without support,</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as the value of the grant will have already been reflected in the purchase</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price.</w:t>
      </w:r>
    </w:p>
    <w:p w14:paraId="440B5D24" w14:textId="77777777" w:rsidR="0062071A" w:rsidRPr="00D2132A" w:rsidRDefault="0062071A" w:rsidP="00F434A8">
      <w:pPr>
        <w:pStyle w:val="Bodycopy"/>
        <w:jc w:val="both"/>
        <w:rPr>
          <w:rFonts w:ascii="Calibri" w:hAnsi="Calibri" w:cs="Calibri"/>
          <w:color w:val="auto"/>
          <w:sz w:val="22"/>
          <w:szCs w:val="22"/>
          <w:lang w:val="en-US"/>
        </w:rPr>
      </w:pPr>
    </w:p>
    <w:p w14:paraId="7097266D" w14:textId="5A2E7A01" w:rsidR="000011CF" w:rsidRPr="00D2132A" w:rsidRDefault="000011CF" w:rsidP="00F434A8">
      <w:pPr>
        <w:pStyle w:val="Bodycopy"/>
        <w:jc w:val="both"/>
        <w:rPr>
          <w:rFonts w:ascii="Calibri" w:hAnsi="Calibri" w:cs="Calibri"/>
          <w:color w:val="auto"/>
          <w:sz w:val="22"/>
          <w:szCs w:val="22"/>
          <w:lang w:val="en-US"/>
        </w:rPr>
      </w:pPr>
      <w:r w:rsidRPr="00D2132A">
        <w:rPr>
          <w:rFonts w:ascii="Calibri" w:hAnsi="Calibri" w:cs="Calibri"/>
          <w:color w:val="auto"/>
          <w:sz w:val="22"/>
          <w:szCs w:val="22"/>
          <w:lang w:val="en-US"/>
        </w:rPr>
        <w:t>Legal advice should be sought in any case where a Receiver or Liquidator</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is seeking to transfer the project as a way of realising assets. As a general</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rule the monitoring officer should draw attention to the company’s</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obligations set out in the offer letter</w:t>
      </w:r>
      <w:r w:rsidR="00757662"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and request the potential claim to</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be noted by the Liquidator/Receiver pending the signing of the novation</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agreement. If the project is not continued satisfactorily or if a new project</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owner is unwilling to take over the offer, clawback must be considered.</w:t>
      </w:r>
    </w:p>
    <w:p w14:paraId="71AA17E2" w14:textId="77777777" w:rsidR="00505989" w:rsidRPr="00D2132A" w:rsidRDefault="00505989" w:rsidP="00F434A8">
      <w:pPr>
        <w:pStyle w:val="Bodycopy"/>
        <w:jc w:val="both"/>
        <w:rPr>
          <w:rFonts w:ascii="Calibri" w:hAnsi="Calibri" w:cs="Calibri"/>
          <w:color w:val="auto"/>
          <w:sz w:val="22"/>
          <w:szCs w:val="22"/>
          <w:lang w:val="en-US"/>
        </w:rPr>
      </w:pPr>
    </w:p>
    <w:p w14:paraId="256335B6" w14:textId="77777777" w:rsidR="000011CF" w:rsidRPr="00D2132A" w:rsidRDefault="000011CF" w:rsidP="00F434A8">
      <w:pPr>
        <w:pStyle w:val="Bodycopy"/>
        <w:jc w:val="both"/>
        <w:rPr>
          <w:rFonts w:ascii="Calibri" w:hAnsi="Calibri" w:cs="Calibri"/>
          <w:color w:val="auto"/>
          <w:sz w:val="22"/>
          <w:szCs w:val="22"/>
          <w:lang w:val="en-US"/>
        </w:rPr>
      </w:pPr>
      <w:r w:rsidRPr="00D2132A">
        <w:rPr>
          <w:rFonts w:ascii="Calibri" w:hAnsi="Calibri" w:cs="Calibri"/>
          <w:color w:val="auto"/>
          <w:sz w:val="22"/>
          <w:szCs w:val="22"/>
          <w:lang w:val="en-US"/>
        </w:rPr>
        <w:lastRenderedPageBreak/>
        <w:t>In certain limited circumstances, it is not necessary to action a novation or</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transfer agreement:</w:t>
      </w:r>
    </w:p>
    <w:p w14:paraId="6A103D4A" w14:textId="6AE50135" w:rsidR="000011CF" w:rsidRPr="00D2132A" w:rsidRDefault="000011CF" w:rsidP="0062071A">
      <w:pPr>
        <w:pStyle w:val="Bulletedtextlevel2"/>
        <w:numPr>
          <w:ilvl w:val="0"/>
          <w:numId w:val="14"/>
        </w:numPr>
        <w:jc w:val="both"/>
        <w:rPr>
          <w:rFonts w:ascii="Calibri" w:hAnsi="Calibri" w:cs="Calibri"/>
          <w:color w:val="auto"/>
          <w:sz w:val="22"/>
          <w:szCs w:val="22"/>
          <w:lang w:val="en-US"/>
        </w:rPr>
      </w:pPr>
      <w:r w:rsidRPr="00D2132A">
        <w:rPr>
          <w:rFonts w:ascii="Calibri" w:hAnsi="Calibri" w:cs="Calibri"/>
          <w:color w:val="auto"/>
          <w:sz w:val="22"/>
          <w:szCs w:val="22"/>
          <w:lang w:val="en-US"/>
        </w:rPr>
        <w:t>If the change occurs early in the life of a project, before expenditure on</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the project has started, the matter may be dealt with by the issue of</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a</w:t>
      </w:r>
      <w:r w:rsidR="008B1C2A" w:rsidRPr="00D2132A">
        <w:rPr>
          <w:rFonts w:ascii="Calibri" w:hAnsi="Calibri" w:cs="Calibri"/>
          <w:color w:val="auto"/>
          <w:sz w:val="22"/>
          <w:szCs w:val="22"/>
          <w:lang w:val="en-US"/>
        </w:rPr>
        <w:t xml:space="preserve"> new offer letter to the business</w:t>
      </w:r>
      <w:r w:rsidRPr="00D2132A">
        <w:rPr>
          <w:rFonts w:ascii="Calibri" w:hAnsi="Calibri" w:cs="Calibri"/>
          <w:color w:val="auto"/>
          <w:sz w:val="22"/>
          <w:szCs w:val="22"/>
          <w:lang w:val="en-US"/>
        </w:rPr>
        <w:t xml:space="preserve"> undertaking the project with parallel</w:t>
      </w:r>
      <w:r w:rsidR="00FD7477" w:rsidRPr="00D2132A">
        <w:rPr>
          <w:rFonts w:ascii="Calibri" w:hAnsi="Calibri" w:cs="Calibri"/>
          <w:color w:val="auto"/>
          <w:sz w:val="22"/>
          <w:szCs w:val="22"/>
          <w:lang w:val="en-US"/>
        </w:rPr>
        <w:t xml:space="preserve"> </w:t>
      </w:r>
      <w:r w:rsidRPr="00D2132A">
        <w:rPr>
          <w:rFonts w:ascii="Calibri" w:hAnsi="Calibri" w:cs="Calibri"/>
          <w:color w:val="auto"/>
          <w:sz w:val="22"/>
          <w:szCs w:val="22"/>
          <w:lang w:val="en-US"/>
        </w:rPr>
        <w:t xml:space="preserve">withdrawal of the </w:t>
      </w:r>
      <w:r w:rsidR="008B1C2A" w:rsidRPr="00D2132A">
        <w:rPr>
          <w:rFonts w:ascii="Calibri" w:hAnsi="Calibri" w:cs="Calibri"/>
          <w:color w:val="auto"/>
          <w:sz w:val="22"/>
          <w:szCs w:val="22"/>
          <w:lang w:val="en-US"/>
        </w:rPr>
        <w:t>original offer</w:t>
      </w:r>
    </w:p>
    <w:p w14:paraId="0585BE77" w14:textId="53DC5D26" w:rsidR="004B1164" w:rsidRPr="00D2132A" w:rsidRDefault="004B1164" w:rsidP="0062071A">
      <w:pPr>
        <w:pStyle w:val="Bulletedtextlevel2"/>
        <w:numPr>
          <w:ilvl w:val="0"/>
          <w:numId w:val="14"/>
        </w:numPr>
        <w:jc w:val="both"/>
        <w:rPr>
          <w:rFonts w:ascii="Calibri" w:hAnsi="Calibri" w:cs="Calibri"/>
          <w:color w:val="auto"/>
          <w:sz w:val="22"/>
          <w:szCs w:val="22"/>
          <w:lang w:val="en-US"/>
        </w:rPr>
      </w:pPr>
      <w:r w:rsidRPr="00D2132A">
        <w:rPr>
          <w:rFonts w:ascii="Calibri" w:hAnsi="Calibri" w:cs="Calibri"/>
          <w:color w:val="auto"/>
          <w:sz w:val="22"/>
          <w:szCs w:val="22"/>
          <w:lang w:val="en-US"/>
        </w:rPr>
        <w:t xml:space="preserve">In the last 12 months of the monitoring period the monitoring officer may choose to forgo the issuing of a novation agreement if in their considered </w:t>
      </w:r>
      <w:r w:rsidR="00F4248F" w:rsidRPr="00D2132A">
        <w:rPr>
          <w:rFonts w:ascii="Calibri" w:hAnsi="Calibri" w:cs="Calibri"/>
          <w:color w:val="auto"/>
          <w:sz w:val="22"/>
          <w:szCs w:val="22"/>
          <w:lang w:val="en-US"/>
        </w:rPr>
        <w:t>judgement it is likely that the project will be taken forward satisfactorily by the new owner</w:t>
      </w:r>
    </w:p>
    <w:p w14:paraId="4F8B3C0E" w14:textId="77777777" w:rsidR="00FF380B" w:rsidRPr="00D2132A" w:rsidRDefault="004B1164" w:rsidP="0062071A">
      <w:pPr>
        <w:pStyle w:val="Bulletedtextlevel3"/>
        <w:numPr>
          <w:ilvl w:val="0"/>
          <w:numId w:val="14"/>
        </w:numPr>
        <w:jc w:val="both"/>
        <w:rPr>
          <w:rFonts w:ascii="Calibri" w:hAnsi="Calibri" w:cs="Calibri"/>
          <w:color w:val="auto"/>
          <w:sz w:val="22"/>
          <w:szCs w:val="22"/>
          <w:lang w:val="en-US"/>
        </w:rPr>
      </w:pPr>
      <w:r w:rsidRPr="00D2132A">
        <w:rPr>
          <w:rFonts w:ascii="Calibri" w:hAnsi="Calibri" w:cs="Calibri"/>
          <w:color w:val="auto"/>
          <w:sz w:val="22"/>
          <w:szCs w:val="22"/>
          <w:lang w:val="en-US"/>
        </w:rPr>
        <w:t>I</w:t>
      </w:r>
      <w:r w:rsidR="000011CF" w:rsidRPr="00D2132A">
        <w:rPr>
          <w:rFonts w:ascii="Calibri" w:hAnsi="Calibri" w:cs="Calibri"/>
          <w:color w:val="auto"/>
          <w:sz w:val="22"/>
          <w:szCs w:val="22"/>
          <w:lang w:val="en-US"/>
        </w:rPr>
        <w:t>f the monitoring officer would not recommend the exercise of</w:t>
      </w:r>
      <w:r w:rsidR="00FD7477" w:rsidRPr="00D2132A">
        <w:rPr>
          <w:rFonts w:ascii="Calibri" w:hAnsi="Calibri" w:cs="Calibri"/>
          <w:color w:val="auto"/>
          <w:sz w:val="22"/>
          <w:szCs w:val="22"/>
          <w:lang w:val="en-US"/>
        </w:rPr>
        <w:t xml:space="preserve"> </w:t>
      </w:r>
      <w:r w:rsidR="000011CF" w:rsidRPr="00D2132A">
        <w:rPr>
          <w:rFonts w:ascii="Calibri" w:hAnsi="Calibri" w:cs="Calibri"/>
          <w:color w:val="auto"/>
          <w:sz w:val="22"/>
          <w:szCs w:val="22"/>
          <w:lang w:val="en-US"/>
        </w:rPr>
        <w:t>clawback conditions in the event of failure to achieve a novation</w:t>
      </w:r>
      <w:r w:rsidR="00FD7477" w:rsidRPr="00D2132A">
        <w:rPr>
          <w:rFonts w:ascii="Calibri" w:hAnsi="Calibri" w:cs="Calibri"/>
          <w:color w:val="auto"/>
          <w:sz w:val="22"/>
          <w:szCs w:val="22"/>
          <w:lang w:val="en-US"/>
        </w:rPr>
        <w:t xml:space="preserve"> </w:t>
      </w:r>
      <w:r w:rsidR="000011CF" w:rsidRPr="00D2132A">
        <w:rPr>
          <w:rFonts w:ascii="Calibri" w:hAnsi="Calibri" w:cs="Calibri"/>
          <w:color w:val="auto"/>
          <w:sz w:val="22"/>
          <w:szCs w:val="22"/>
          <w:lang w:val="en-US"/>
        </w:rPr>
        <w:t>agreement</w:t>
      </w:r>
      <w:r w:rsidR="008B1C2A" w:rsidRPr="00D2132A">
        <w:rPr>
          <w:rFonts w:ascii="Calibri" w:hAnsi="Calibri" w:cs="Calibri"/>
          <w:color w:val="auto"/>
          <w:sz w:val="22"/>
          <w:szCs w:val="22"/>
          <w:lang w:val="en-US"/>
        </w:rPr>
        <w:t xml:space="preserve">. </w:t>
      </w:r>
      <w:r w:rsidR="000011CF" w:rsidRPr="00D2132A">
        <w:rPr>
          <w:rFonts w:ascii="Calibri" w:hAnsi="Calibri" w:cs="Calibri"/>
          <w:color w:val="auto"/>
          <w:sz w:val="22"/>
          <w:szCs w:val="22"/>
          <w:lang w:val="en-US"/>
        </w:rPr>
        <w:t>This discretion is likely to be used only in cases where</w:t>
      </w:r>
      <w:r w:rsidR="00FD7477" w:rsidRPr="00D2132A">
        <w:rPr>
          <w:rFonts w:ascii="Calibri" w:hAnsi="Calibri" w:cs="Calibri"/>
          <w:color w:val="auto"/>
          <w:sz w:val="22"/>
          <w:szCs w:val="22"/>
          <w:lang w:val="en-US"/>
        </w:rPr>
        <w:t xml:space="preserve"> </w:t>
      </w:r>
      <w:r w:rsidR="000011CF" w:rsidRPr="00D2132A">
        <w:rPr>
          <w:rFonts w:ascii="Calibri" w:hAnsi="Calibri" w:cs="Calibri"/>
          <w:color w:val="auto"/>
          <w:sz w:val="22"/>
          <w:szCs w:val="22"/>
          <w:lang w:val="en-US"/>
        </w:rPr>
        <w:t>the project achievement, at the point of the transfer, can be said</w:t>
      </w:r>
      <w:r w:rsidR="00FD7477" w:rsidRPr="00D2132A">
        <w:rPr>
          <w:rFonts w:ascii="Calibri" w:hAnsi="Calibri" w:cs="Calibri"/>
          <w:color w:val="auto"/>
          <w:sz w:val="22"/>
          <w:szCs w:val="22"/>
          <w:lang w:val="en-US"/>
        </w:rPr>
        <w:t xml:space="preserve"> </w:t>
      </w:r>
      <w:r w:rsidR="000011CF" w:rsidRPr="00D2132A">
        <w:rPr>
          <w:rFonts w:ascii="Calibri" w:hAnsi="Calibri" w:cs="Calibri"/>
          <w:color w:val="auto"/>
          <w:sz w:val="22"/>
          <w:szCs w:val="22"/>
          <w:lang w:val="en-US"/>
        </w:rPr>
        <w:t>to have justified the assistance paid, or where the cost of recovery</w:t>
      </w:r>
    </w:p>
    <w:p w14:paraId="0D6978A1" w14:textId="01C48312" w:rsidR="00376620" w:rsidRPr="00D2132A" w:rsidRDefault="000011CF" w:rsidP="00FF380B">
      <w:pPr>
        <w:pStyle w:val="Bulletedtextlevel3"/>
        <w:numPr>
          <w:ilvl w:val="0"/>
          <w:numId w:val="0"/>
        </w:numPr>
        <w:ind w:left="502"/>
        <w:jc w:val="both"/>
        <w:rPr>
          <w:rFonts w:ascii="Calibri" w:hAnsi="Calibri" w:cs="Calibri"/>
          <w:color w:val="auto"/>
          <w:sz w:val="22"/>
          <w:szCs w:val="22"/>
          <w:lang w:val="en-US"/>
        </w:rPr>
      </w:pPr>
      <w:r w:rsidRPr="00D2132A">
        <w:rPr>
          <w:rFonts w:ascii="Calibri" w:hAnsi="Calibri" w:cs="Calibri"/>
          <w:color w:val="auto"/>
          <w:sz w:val="22"/>
          <w:szCs w:val="22"/>
          <w:lang w:val="en-US"/>
        </w:rPr>
        <w:t>action is likely to exceed the amount repayable</w:t>
      </w:r>
      <w:bookmarkStart w:id="183" w:name="_Toc349307660"/>
      <w:bookmarkStart w:id="184" w:name="_Toc349307809"/>
      <w:bookmarkStart w:id="185" w:name="_Toc349308319"/>
      <w:bookmarkStart w:id="186" w:name="_Toc349308427"/>
      <w:bookmarkStart w:id="187" w:name="_Toc349308520"/>
    </w:p>
    <w:p w14:paraId="213534D3" w14:textId="77777777" w:rsidR="00FF380B" w:rsidRDefault="00FF380B" w:rsidP="00FF380B">
      <w:pPr>
        <w:pStyle w:val="Bodycopy"/>
        <w:jc w:val="both"/>
        <w:rPr>
          <w:rFonts w:ascii="Calibri" w:hAnsi="Calibri" w:cs="Calibri"/>
          <w:b/>
          <w:bCs/>
          <w:color w:val="198897"/>
          <w:sz w:val="22"/>
          <w:szCs w:val="22"/>
        </w:rPr>
      </w:pPr>
      <w:bookmarkStart w:id="188" w:name="_Toc9585345"/>
      <w:bookmarkEnd w:id="183"/>
      <w:bookmarkEnd w:id="184"/>
      <w:bookmarkEnd w:id="185"/>
      <w:bookmarkEnd w:id="186"/>
      <w:bookmarkEnd w:id="187"/>
    </w:p>
    <w:p w14:paraId="3444FA77" w14:textId="77777777" w:rsidR="00FF380B" w:rsidRDefault="00FF380B" w:rsidP="00B439E3">
      <w:pPr>
        <w:pStyle w:val="TOCHeader"/>
        <w:outlineLvl w:val="0"/>
      </w:pPr>
      <w:bookmarkStart w:id="189" w:name="_Toc157694469"/>
      <w:r>
        <w:t>8.0</w:t>
      </w:r>
      <w:r>
        <w:tab/>
        <w:t>QUERIES</w:t>
      </w:r>
      <w:bookmarkEnd w:id="189"/>
    </w:p>
    <w:p w14:paraId="0E7EAFD6" w14:textId="4D9D4555" w:rsidR="00FF380B" w:rsidRDefault="00FF380B" w:rsidP="00FF380B">
      <w:pPr>
        <w:pStyle w:val="Bulletedtextlevel3"/>
        <w:numPr>
          <w:ilvl w:val="0"/>
          <w:numId w:val="0"/>
        </w:numPr>
        <w:jc w:val="both"/>
        <w:rPr>
          <w:rFonts w:ascii="Calibri" w:hAnsi="Calibri" w:cs="Calibri"/>
          <w:sz w:val="22"/>
          <w:szCs w:val="22"/>
          <w:lang w:val="en-US"/>
        </w:rPr>
      </w:pPr>
      <w:r>
        <w:rPr>
          <w:rFonts w:ascii="Calibri" w:hAnsi="Calibri" w:cs="Calibri"/>
          <w:sz w:val="22"/>
          <w:szCs w:val="22"/>
          <w:lang w:val="en-US"/>
        </w:rPr>
        <w:t xml:space="preserve">Any queries relating to this grant scheme should be addressed to </w:t>
      </w:r>
      <w:r w:rsidR="00644784" w:rsidRPr="00D627C0">
        <w:rPr>
          <w:rFonts w:ascii="Calibri" w:hAnsi="Calibri" w:cs="Calibri"/>
          <w:sz w:val="22"/>
          <w:szCs w:val="22"/>
          <w:lang w:val="en-US"/>
        </w:rPr>
        <w:t>Paula Martyn-Jones</w:t>
      </w:r>
      <w:r w:rsidRPr="00D627C0">
        <w:rPr>
          <w:rFonts w:ascii="Calibri" w:hAnsi="Calibri" w:cs="Calibri"/>
          <w:sz w:val="22"/>
          <w:szCs w:val="22"/>
          <w:lang w:val="en-US"/>
        </w:rPr>
        <w:t xml:space="preserve">, </w:t>
      </w:r>
      <w:r w:rsidR="00566C6D" w:rsidRPr="00D627C0">
        <w:rPr>
          <w:rFonts w:ascii="Calibri" w:hAnsi="Calibri" w:cs="Calibri"/>
          <w:sz w:val="22"/>
          <w:szCs w:val="22"/>
          <w:lang w:val="en-US"/>
        </w:rPr>
        <w:t xml:space="preserve">Growth Hub </w:t>
      </w:r>
      <w:r w:rsidR="002E3920" w:rsidRPr="00D627C0">
        <w:rPr>
          <w:rFonts w:ascii="Calibri" w:hAnsi="Calibri" w:cs="Calibri"/>
          <w:sz w:val="22"/>
          <w:szCs w:val="22"/>
          <w:lang w:val="en-US"/>
        </w:rPr>
        <w:t>Finance &amp; Compliance Facilitator</w:t>
      </w:r>
      <w:r w:rsidRPr="00D627C0">
        <w:rPr>
          <w:rFonts w:ascii="Calibri" w:hAnsi="Calibri" w:cs="Calibri"/>
          <w:sz w:val="22"/>
          <w:szCs w:val="22"/>
          <w:lang w:val="en-US"/>
        </w:rPr>
        <w:t xml:space="preserve">, </w:t>
      </w:r>
      <w:hyperlink r:id="rId22" w:history="1">
        <w:r w:rsidR="00644784" w:rsidRPr="00794161">
          <w:rPr>
            <w:rStyle w:val="Hyperlink"/>
            <w:color w:val="0070C0"/>
          </w:rPr>
          <w:t>paula@cumbriachamber.co.uk</w:t>
        </w:r>
      </w:hyperlink>
    </w:p>
    <w:p w14:paraId="2DA65F3C" w14:textId="77777777" w:rsidR="00AE0783" w:rsidRDefault="00AE0783" w:rsidP="00FF380B">
      <w:pPr>
        <w:pStyle w:val="Bulletedtextlevel3"/>
        <w:numPr>
          <w:ilvl w:val="0"/>
          <w:numId w:val="0"/>
        </w:numPr>
        <w:jc w:val="both"/>
        <w:rPr>
          <w:rFonts w:ascii="Calibri" w:hAnsi="Calibri" w:cs="Calibri"/>
          <w:sz w:val="22"/>
          <w:szCs w:val="22"/>
          <w:lang w:val="en-US"/>
        </w:rPr>
      </w:pPr>
    </w:p>
    <w:p w14:paraId="7FD9665F" w14:textId="0CC6CEF5" w:rsidR="0019400B" w:rsidRPr="00F434A8" w:rsidRDefault="001A5CDB" w:rsidP="00B439E3">
      <w:pPr>
        <w:pStyle w:val="TOCHeader"/>
        <w:outlineLvl w:val="0"/>
      </w:pPr>
      <w:bookmarkStart w:id="190" w:name="_Toc157694470"/>
      <w:r w:rsidRPr="00F434A8">
        <w:t>A</w:t>
      </w:r>
      <w:r w:rsidR="0019400B" w:rsidRPr="00F434A8">
        <w:t>NNEX A</w:t>
      </w:r>
      <w:r w:rsidR="00522BCB" w:rsidRPr="00F434A8">
        <w:t>:</w:t>
      </w:r>
      <w:r w:rsidR="00FD7477" w:rsidRPr="00F434A8">
        <w:t xml:space="preserve"> DEFINITIONS</w:t>
      </w:r>
      <w:bookmarkEnd w:id="188"/>
      <w:bookmarkEnd w:id="190"/>
      <w:r w:rsidR="000F5D45" w:rsidRPr="00F434A8">
        <w:t xml:space="preserve"> </w:t>
      </w:r>
      <w:r w:rsidR="00F434A8">
        <w:t xml:space="preserve"> </w:t>
      </w:r>
    </w:p>
    <w:p w14:paraId="52394458" w14:textId="61673677" w:rsidR="00BF1A92" w:rsidRPr="00D2132A" w:rsidRDefault="00BF1A92" w:rsidP="00F434A8">
      <w:pPr>
        <w:pStyle w:val="Bodycopy"/>
        <w:jc w:val="both"/>
        <w:rPr>
          <w:rFonts w:ascii="Calibri" w:hAnsi="Calibri" w:cs="Calibri"/>
          <w:color w:val="auto"/>
          <w:sz w:val="22"/>
          <w:szCs w:val="22"/>
          <w:lang w:eastAsia="en-GB"/>
        </w:rPr>
      </w:pPr>
      <w:r w:rsidRPr="00D2132A">
        <w:rPr>
          <w:rFonts w:ascii="Calibri" w:hAnsi="Calibri" w:cs="Calibri"/>
          <w:color w:val="auto"/>
          <w:sz w:val="22"/>
          <w:szCs w:val="22"/>
          <w:lang w:eastAsia="en-GB"/>
        </w:rPr>
        <w:t>For the purpose of these Guidelines the following definitions apply:</w:t>
      </w:r>
    </w:p>
    <w:p w14:paraId="2E80CFE5" w14:textId="77777777" w:rsidR="009E1BF0" w:rsidRPr="00D2132A" w:rsidRDefault="009E1BF0" w:rsidP="00F434A8">
      <w:pPr>
        <w:pStyle w:val="Bodycopy"/>
        <w:jc w:val="both"/>
        <w:rPr>
          <w:rFonts w:ascii="Calibri" w:hAnsi="Calibri" w:cs="Calibri"/>
          <w:color w:val="auto"/>
          <w:sz w:val="22"/>
          <w:szCs w:val="22"/>
        </w:rPr>
      </w:pPr>
    </w:p>
    <w:p w14:paraId="1EB45D49" w14:textId="77777777" w:rsidR="00FD7477" w:rsidRPr="00D2132A" w:rsidRDefault="000B786A" w:rsidP="00F434A8">
      <w:pPr>
        <w:pStyle w:val="Bodycopy"/>
        <w:jc w:val="both"/>
        <w:rPr>
          <w:rFonts w:ascii="Calibri" w:hAnsi="Calibri" w:cs="Calibri"/>
          <w:color w:val="auto"/>
          <w:sz w:val="22"/>
          <w:szCs w:val="22"/>
        </w:rPr>
      </w:pPr>
      <w:r w:rsidRPr="00D2132A">
        <w:rPr>
          <w:rStyle w:val="Strong"/>
          <w:rFonts w:ascii="Calibri" w:hAnsi="Calibri" w:cs="Calibri"/>
          <w:color w:val="auto"/>
          <w:sz w:val="22"/>
          <w:szCs w:val="22"/>
        </w:rPr>
        <w:t>Arm's length</w:t>
      </w:r>
      <w:r w:rsidRPr="00D2132A">
        <w:rPr>
          <w:rFonts w:ascii="Calibri" w:hAnsi="Calibri" w:cs="Calibri"/>
          <w:color w:val="auto"/>
          <w:sz w:val="22"/>
          <w:szCs w:val="22"/>
        </w:rPr>
        <w:t xml:space="preserve"> means that the conditions of the transaction between the contracting parties do not differ from those which would be stipulated between independent enterprises and contain no element of collusion. Any transaction result</w:t>
      </w:r>
      <w:r w:rsidR="00AF7E36" w:rsidRPr="00D2132A">
        <w:rPr>
          <w:rFonts w:ascii="Calibri" w:hAnsi="Calibri" w:cs="Calibri"/>
          <w:color w:val="auto"/>
          <w:sz w:val="22"/>
          <w:szCs w:val="22"/>
        </w:rPr>
        <w:t>ing</w:t>
      </w:r>
      <w:r w:rsidRPr="00D2132A">
        <w:rPr>
          <w:rFonts w:ascii="Calibri" w:hAnsi="Calibri" w:cs="Calibri"/>
          <w:color w:val="auto"/>
          <w:sz w:val="22"/>
          <w:szCs w:val="22"/>
        </w:rPr>
        <w:t xml:space="preserve"> from an open, transparent and non-discriminatory procedure is considered as arm's length.</w:t>
      </w:r>
    </w:p>
    <w:p w14:paraId="086B6BE0" w14:textId="77777777" w:rsidR="000B786A" w:rsidRPr="00D2132A" w:rsidRDefault="000B786A" w:rsidP="00F434A8">
      <w:pPr>
        <w:pStyle w:val="Bodycopy"/>
        <w:jc w:val="both"/>
        <w:rPr>
          <w:rFonts w:ascii="Calibri" w:hAnsi="Calibri" w:cs="Calibri"/>
          <w:color w:val="auto"/>
          <w:sz w:val="22"/>
          <w:szCs w:val="22"/>
        </w:rPr>
      </w:pPr>
    </w:p>
    <w:p w14:paraId="11DC225E" w14:textId="134B7090" w:rsidR="00AD3149" w:rsidRPr="00D2132A" w:rsidRDefault="009A20BA" w:rsidP="005B5086">
      <w:pPr>
        <w:pStyle w:val="Bodycopy"/>
        <w:jc w:val="both"/>
        <w:rPr>
          <w:rStyle w:val="Strong"/>
          <w:rFonts w:ascii="Calibri" w:hAnsi="Calibri" w:cs="Calibri"/>
          <w:b w:val="0"/>
          <w:bCs w:val="0"/>
          <w:color w:val="auto"/>
          <w:sz w:val="22"/>
          <w:szCs w:val="22"/>
        </w:rPr>
      </w:pPr>
      <w:r w:rsidRPr="00D2132A">
        <w:rPr>
          <w:rStyle w:val="Strong"/>
          <w:rFonts w:ascii="Calibri" w:hAnsi="Calibri" w:cs="Calibri"/>
          <w:color w:val="auto"/>
          <w:sz w:val="22"/>
          <w:szCs w:val="22"/>
        </w:rPr>
        <w:t xml:space="preserve">Asset </w:t>
      </w:r>
      <w:r w:rsidRPr="00D2132A">
        <w:rPr>
          <w:rStyle w:val="Strong"/>
          <w:rFonts w:ascii="Calibri" w:hAnsi="Calibri" w:cs="Calibri"/>
          <w:b w:val="0"/>
          <w:bCs w:val="0"/>
          <w:color w:val="auto"/>
          <w:sz w:val="22"/>
          <w:szCs w:val="22"/>
        </w:rPr>
        <w:t xml:space="preserve">means any property, equipment, works or real property purchased, developed or materially improved or increased in value as a result of the project with a value of at least </w:t>
      </w:r>
      <w:r w:rsidR="00087455" w:rsidRPr="00D2132A">
        <w:rPr>
          <w:rStyle w:val="Strong"/>
          <w:rFonts w:ascii="Calibri" w:hAnsi="Calibri" w:cs="Calibri"/>
          <w:b w:val="0"/>
          <w:bCs w:val="0"/>
          <w:color w:val="auto"/>
          <w:sz w:val="22"/>
          <w:szCs w:val="22"/>
        </w:rPr>
        <w:t xml:space="preserve"> £10,000.</w:t>
      </w:r>
    </w:p>
    <w:p w14:paraId="7707FB8D" w14:textId="77777777" w:rsidR="00087455" w:rsidRPr="00D2132A" w:rsidRDefault="00087455" w:rsidP="00A2250E">
      <w:pPr>
        <w:pStyle w:val="Bodycopy"/>
        <w:rPr>
          <w:rStyle w:val="Strong"/>
          <w:rFonts w:ascii="Calibri" w:hAnsi="Calibri" w:cs="Calibri"/>
          <w:b w:val="0"/>
          <w:bCs w:val="0"/>
          <w:color w:val="auto"/>
          <w:sz w:val="22"/>
          <w:szCs w:val="22"/>
        </w:rPr>
      </w:pPr>
    </w:p>
    <w:p w14:paraId="232F357C" w14:textId="77777777" w:rsidR="00AE4653" w:rsidRPr="00D2132A" w:rsidRDefault="00BF1A92" w:rsidP="00F434A8">
      <w:pPr>
        <w:pStyle w:val="Bodycopy"/>
        <w:jc w:val="both"/>
        <w:rPr>
          <w:rFonts w:ascii="Calibri" w:hAnsi="Calibri" w:cs="Calibri"/>
          <w:color w:val="auto"/>
          <w:sz w:val="22"/>
          <w:szCs w:val="22"/>
          <w:lang w:eastAsia="en-GB"/>
        </w:rPr>
      </w:pPr>
      <w:r w:rsidRPr="00D2132A">
        <w:rPr>
          <w:rStyle w:val="Strong"/>
          <w:rFonts w:ascii="Calibri" w:hAnsi="Calibri" w:cs="Calibri"/>
          <w:color w:val="auto"/>
          <w:sz w:val="22"/>
          <w:szCs w:val="22"/>
        </w:rPr>
        <w:t xml:space="preserve">Control </w:t>
      </w:r>
      <w:r w:rsidR="00AE4653" w:rsidRPr="00D2132A">
        <w:rPr>
          <w:rFonts w:ascii="Calibri" w:hAnsi="Calibri" w:cs="Calibri"/>
          <w:color w:val="auto"/>
          <w:sz w:val="22"/>
          <w:szCs w:val="22"/>
          <w:lang w:eastAsia="en-GB"/>
        </w:rPr>
        <w:t>has the meaning set out in Article 3 of Council Regulation (EC)</w:t>
      </w:r>
      <w:r w:rsidRPr="00D2132A">
        <w:rPr>
          <w:rFonts w:ascii="Calibri" w:hAnsi="Calibri" w:cs="Calibri"/>
          <w:color w:val="auto"/>
          <w:sz w:val="22"/>
          <w:szCs w:val="22"/>
          <w:lang w:eastAsia="en-GB"/>
        </w:rPr>
        <w:t xml:space="preserve"> </w:t>
      </w:r>
      <w:r w:rsidR="00AE4653" w:rsidRPr="00D2132A">
        <w:rPr>
          <w:rFonts w:ascii="Calibri" w:hAnsi="Calibri" w:cs="Calibri"/>
          <w:color w:val="auto"/>
          <w:sz w:val="22"/>
          <w:szCs w:val="22"/>
          <w:lang w:eastAsia="en-GB"/>
        </w:rPr>
        <w:t>No 139/2004. Specifically, control shall be constituted by rights, contracts</w:t>
      </w:r>
      <w:r w:rsidRPr="00D2132A">
        <w:rPr>
          <w:rFonts w:ascii="Calibri" w:hAnsi="Calibri" w:cs="Calibri"/>
          <w:color w:val="auto"/>
          <w:sz w:val="22"/>
          <w:szCs w:val="22"/>
          <w:lang w:eastAsia="en-GB"/>
        </w:rPr>
        <w:t xml:space="preserve"> </w:t>
      </w:r>
      <w:r w:rsidR="00AE4653" w:rsidRPr="00D2132A">
        <w:rPr>
          <w:rFonts w:ascii="Calibri" w:hAnsi="Calibri" w:cs="Calibri"/>
          <w:color w:val="auto"/>
          <w:sz w:val="22"/>
          <w:szCs w:val="22"/>
          <w:lang w:eastAsia="en-GB"/>
        </w:rPr>
        <w:t>or any other means which, either separately or in combination and having</w:t>
      </w:r>
      <w:r w:rsidRPr="00D2132A">
        <w:rPr>
          <w:rFonts w:ascii="Calibri" w:hAnsi="Calibri" w:cs="Calibri"/>
          <w:color w:val="auto"/>
          <w:sz w:val="22"/>
          <w:szCs w:val="22"/>
          <w:lang w:eastAsia="en-GB"/>
        </w:rPr>
        <w:t xml:space="preserve"> </w:t>
      </w:r>
      <w:r w:rsidR="00AE4653" w:rsidRPr="00D2132A">
        <w:rPr>
          <w:rFonts w:ascii="Calibri" w:hAnsi="Calibri" w:cs="Calibri"/>
          <w:color w:val="auto"/>
          <w:sz w:val="22"/>
          <w:szCs w:val="22"/>
          <w:lang w:eastAsia="en-GB"/>
        </w:rPr>
        <w:t>regard to considerations of fact or law involved, confer the possibility of</w:t>
      </w:r>
      <w:r w:rsidRPr="00D2132A">
        <w:rPr>
          <w:rFonts w:ascii="Calibri" w:hAnsi="Calibri" w:cs="Calibri"/>
          <w:color w:val="auto"/>
          <w:sz w:val="22"/>
          <w:szCs w:val="22"/>
          <w:lang w:eastAsia="en-GB"/>
        </w:rPr>
        <w:t xml:space="preserve"> </w:t>
      </w:r>
      <w:r w:rsidR="00AE4653" w:rsidRPr="00D2132A">
        <w:rPr>
          <w:rFonts w:ascii="Calibri" w:hAnsi="Calibri" w:cs="Calibri"/>
          <w:color w:val="auto"/>
          <w:sz w:val="22"/>
          <w:szCs w:val="22"/>
          <w:lang w:eastAsia="en-GB"/>
        </w:rPr>
        <w:t>exercising decisive influence on an undertaking, in particular by:</w:t>
      </w:r>
    </w:p>
    <w:p w14:paraId="65239AD4" w14:textId="77777777" w:rsidR="00AE4653" w:rsidRPr="00D2132A" w:rsidRDefault="00AE4653" w:rsidP="00F434A8">
      <w:pPr>
        <w:pStyle w:val="Bulletedtextlevel2"/>
        <w:jc w:val="both"/>
        <w:rPr>
          <w:rFonts w:ascii="Calibri" w:hAnsi="Calibri" w:cs="Calibri"/>
          <w:color w:val="auto"/>
          <w:sz w:val="22"/>
          <w:szCs w:val="22"/>
          <w:lang w:eastAsia="en-GB"/>
        </w:rPr>
      </w:pPr>
      <w:r w:rsidRPr="00D2132A">
        <w:rPr>
          <w:rFonts w:ascii="Calibri" w:hAnsi="Calibri" w:cs="Calibri"/>
          <w:color w:val="auto"/>
          <w:sz w:val="22"/>
          <w:szCs w:val="22"/>
          <w:lang w:eastAsia="en-GB"/>
        </w:rPr>
        <w:t xml:space="preserve">ownership or the right to use all or part </w:t>
      </w:r>
      <w:r w:rsidR="003F04F2" w:rsidRPr="00D2132A">
        <w:rPr>
          <w:rFonts w:ascii="Calibri" w:hAnsi="Calibri" w:cs="Calibri"/>
          <w:color w:val="auto"/>
          <w:sz w:val="22"/>
          <w:szCs w:val="22"/>
          <w:lang w:eastAsia="en-GB"/>
        </w:rPr>
        <w:t>of the assets of an undertaking</w:t>
      </w:r>
    </w:p>
    <w:p w14:paraId="21F7AD7B" w14:textId="4356306A" w:rsidR="00AE4653" w:rsidRPr="00D2132A" w:rsidRDefault="00AE4653" w:rsidP="00F434A8">
      <w:pPr>
        <w:pStyle w:val="Bulletedtextlevel2"/>
        <w:jc w:val="both"/>
        <w:rPr>
          <w:rFonts w:ascii="Calibri" w:hAnsi="Calibri" w:cs="Calibri"/>
          <w:color w:val="auto"/>
          <w:sz w:val="22"/>
          <w:szCs w:val="22"/>
          <w:lang w:eastAsia="en-GB"/>
        </w:rPr>
      </w:pPr>
      <w:r w:rsidRPr="00D2132A">
        <w:rPr>
          <w:rFonts w:ascii="Calibri" w:hAnsi="Calibri" w:cs="Calibri"/>
          <w:color w:val="auto"/>
          <w:sz w:val="22"/>
          <w:szCs w:val="22"/>
          <w:lang w:eastAsia="en-GB"/>
        </w:rPr>
        <w:t>rights or contracts which confer decisive influence on the composition,</w:t>
      </w:r>
      <w:r w:rsidR="00BF1A92" w:rsidRPr="00D2132A">
        <w:rPr>
          <w:rFonts w:ascii="Calibri" w:hAnsi="Calibri" w:cs="Calibri"/>
          <w:color w:val="auto"/>
          <w:sz w:val="22"/>
          <w:szCs w:val="22"/>
          <w:lang w:eastAsia="en-GB"/>
        </w:rPr>
        <w:t xml:space="preserve"> </w:t>
      </w:r>
      <w:r w:rsidRPr="00D2132A">
        <w:rPr>
          <w:rFonts w:ascii="Calibri" w:hAnsi="Calibri" w:cs="Calibri"/>
          <w:color w:val="auto"/>
          <w:sz w:val="22"/>
          <w:szCs w:val="22"/>
          <w:lang w:eastAsia="en-GB"/>
        </w:rPr>
        <w:t xml:space="preserve">voting or decisions </w:t>
      </w:r>
      <w:r w:rsidR="003F04F2" w:rsidRPr="00D2132A">
        <w:rPr>
          <w:rFonts w:ascii="Calibri" w:hAnsi="Calibri" w:cs="Calibri"/>
          <w:color w:val="auto"/>
          <w:sz w:val="22"/>
          <w:szCs w:val="22"/>
          <w:lang w:eastAsia="en-GB"/>
        </w:rPr>
        <w:t>of the</w:t>
      </w:r>
      <w:r w:rsidR="00087455" w:rsidRPr="00D2132A">
        <w:rPr>
          <w:rFonts w:ascii="Calibri" w:hAnsi="Calibri" w:cs="Calibri"/>
          <w:color w:val="auto"/>
          <w:sz w:val="22"/>
          <w:szCs w:val="22"/>
          <w:lang w:eastAsia="en-GB"/>
        </w:rPr>
        <w:t xml:space="preserve"> organisation or </w:t>
      </w:r>
      <w:r w:rsidR="003F04F2" w:rsidRPr="00D2132A">
        <w:rPr>
          <w:rFonts w:ascii="Calibri" w:hAnsi="Calibri" w:cs="Calibri"/>
          <w:color w:val="auto"/>
          <w:sz w:val="22"/>
          <w:szCs w:val="22"/>
          <w:lang w:eastAsia="en-GB"/>
        </w:rPr>
        <w:t>undertaking</w:t>
      </w:r>
    </w:p>
    <w:p w14:paraId="35C701D4" w14:textId="77777777" w:rsidR="00AE4653" w:rsidRPr="00D2132A" w:rsidRDefault="00AE4653" w:rsidP="00F434A8">
      <w:pPr>
        <w:pStyle w:val="Bodycopy"/>
        <w:jc w:val="both"/>
        <w:rPr>
          <w:rFonts w:ascii="Calibri" w:hAnsi="Calibri" w:cs="Calibri"/>
          <w:color w:val="auto"/>
          <w:sz w:val="22"/>
          <w:szCs w:val="22"/>
          <w:lang w:eastAsia="en-GB"/>
        </w:rPr>
      </w:pPr>
      <w:r w:rsidRPr="00D2132A">
        <w:rPr>
          <w:rFonts w:ascii="Calibri" w:hAnsi="Calibri" w:cs="Calibri"/>
          <w:color w:val="auto"/>
          <w:sz w:val="22"/>
          <w:szCs w:val="22"/>
          <w:lang w:eastAsia="en-GB"/>
        </w:rPr>
        <w:t>Control is acquired by persons or undertakings which:</w:t>
      </w:r>
    </w:p>
    <w:p w14:paraId="2E9DFA0F" w14:textId="77777777" w:rsidR="00AE4653" w:rsidRPr="00D2132A" w:rsidRDefault="00AE4653" w:rsidP="00F434A8">
      <w:pPr>
        <w:pStyle w:val="Bulletedtextlevel2"/>
        <w:jc w:val="both"/>
        <w:rPr>
          <w:rFonts w:ascii="Calibri" w:hAnsi="Calibri" w:cs="Calibri"/>
          <w:color w:val="auto"/>
          <w:sz w:val="22"/>
          <w:szCs w:val="22"/>
          <w:lang w:eastAsia="en-GB"/>
        </w:rPr>
      </w:pPr>
      <w:r w:rsidRPr="00D2132A">
        <w:rPr>
          <w:rFonts w:ascii="Calibri" w:hAnsi="Calibri" w:cs="Calibri"/>
          <w:color w:val="auto"/>
          <w:sz w:val="22"/>
          <w:szCs w:val="22"/>
          <w:lang w:eastAsia="en-GB"/>
        </w:rPr>
        <w:t>are holders of the rights or entitled to rights under the contracts</w:t>
      </w:r>
      <w:r w:rsidR="00BF1A92" w:rsidRPr="00D2132A">
        <w:rPr>
          <w:rFonts w:ascii="Calibri" w:hAnsi="Calibri" w:cs="Calibri"/>
          <w:color w:val="auto"/>
          <w:sz w:val="22"/>
          <w:szCs w:val="22"/>
          <w:lang w:eastAsia="en-GB"/>
        </w:rPr>
        <w:t xml:space="preserve"> </w:t>
      </w:r>
      <w:r w:rsidR="003F04F2" w:rsidRPr="00D2132A">
        <w:rPr>
          <w:rFonts w:ascii="Calibri" w:hAnsi="Calibri" w:cs="Calibri"/>
          <w:color w:val="auto"/>
          <w:sz w:val="22"/>
          <w:szCs w:val="22"/>
          <w:lang w:eastAsia="en-GB"/>
        </w:rPr>
        <w:t>concerned</w:t>
      </w:r>
      <w:r w:rsidRPr="00D2132A">
        <w:rPr>
          <w:rFonts w:ascii="Calibri" w:hAnsi="Calibri" w:cs="Calibri"/>
          <w:color w:val="auto"/>
          <w:sz w:val="22"/>
          <w:szCs w:val="22"/>
          <w:lang w:eastAsia="en-GB"/>
        </w:rPr>
        <w:t xml:space="preserve"> or</w:t>
      </w:r>
    </w:p>
    <w:p w14:paraId="14932878" w14:textId="77777777" w:rsidR="005114BC" w:rsidRPr="00D2132A" w:rsidRDefault="00AE4653" w:rsidP="00F434A8">
      <w:pPr>
        <w:pStyle w:val="Bulletedtextlevel2"/>
        <w:jc w:val="both"/>
        <w:rPr>
          <w:rFonts w:ascii="Calibri" w:hAnsi="Calibri" w:cs="Calibri"/>
          <w:color w:val="auto"/>
          <w:sz w:val="22"/>
          <w:szCs w:val="22"/>
          <w:lang w:eastAsia="en-GB"/>
        </w:rPr>
      </w:pPr>
      <w:r w:rsidRPr="00D2132A">
        <w:rPr>
          <w:rFonts w:ascii="Calibri" w:hAnsi="Calibri" w:cs="Calibri"/>
          <w:color w:val="auto"/>
          <w:sz w:val="22"/>
          <w:szCs w:val="22"/>
          <w:lang w:eastAsia="en-GB"/>
        </w:rPr>
        <w:t>while not being holders of such rights or entitled to rights under such</w:t>
      </w:r>
      <w:r w:rsidR="00BF1A92" w:rsidRPr="00D2132A">
        <w:rPr>
          <w:rFonts w:ascii="Calibri" w:hAnsi="Calibri" w:cs="Calibri"/>
          <w:color w:val="auto"/>
          <w:sz w:val="22"/>
          <w:szCs w:val="22"/>
          <w:lang w:eastAsia="en-GB"/>
        </w:rPr>
        <w:t xml:space="preserve"> </w:t>
      </w:r>
      <w:r w:rsidRPr="00D2132A">
        <w:rPr>
          <w:rFonts w:ascii="Calibri" w:hAnsi="Calibri" w:cs="Calibri"/>
          <w:color w:val="auto"/>
          <w:sz w:val="22"/>
          <w:szCs w:val="22"/>
          <w:lang w:eastAsia="en-GB"/>
        </w:rPr>
        <w:t>contracts, have the power to exercis</w:t>
      </w:r>
      <w:r w:rsidR="003F04F2" w:rsidRPr="00D2132A">
        <w:rPr>
          <w:rFonts w:ascii="Calibri" w:hAnsi="Calibri" w:cs="Calibri"/>
          <w:color w:val="auto"/>
          <w:sz w:val="22"/>
          <w:szCs w:val="22"/>
          <w:lang w:eastAsia="en-GB"/>
        </w:rPr>
        <w:t>e the rights deriving therefrom</w:t>
      </w:r>
    </w:p>
    <w:p w14:paraId="6F64E61C" w14:textId="77777777" w:rsidR="00DE01B5" w:rsidRPr="00D2132A" w:rsidRDefault="00DE01B5" w:rsidP="00F434A8">
      <w:pPr>
        <w:pStyle w:val="Bodycopy"/>
        <w:jc w:val="both"/>
        <w:rPr>
          <w:rStyle w:val="Strong"/>
          <w:rFonts w:ascii="Calibri" w:hAnsi="Calibri" w:cs="Calibri"/>
          <w:b w:val="0"/>
          <w:bCs w:val="0"/>
          <w:color w:val="auto"/>
          <w:sz w:val="22"/>
          <w:szCs w:val="22"/>
        </w:rPr>
      </w:pPr>
    </w:p>
    <w:p w14:paraId="70ABE0F1" w14:textId="3975986A" w:rsidR="005114BC" w:rsidRPr="00D2132A" w:rsidRDefault="00DE01B5" w:rsidP="00F434A8">
      <w:pPr>
        <w:pStyle w:val="Bodycopy"/>
        <w:jc w:val="both"/>
        <w:rPr>
          <w:rStyle w:val="Strong"/>
          <w:rFonts w:ascii="Calibri" w:hAnsi="Calibri" w:cs="Calibri"/>
          <w:b w:val="0"/>
          <w:bCs w:val="0"/>
          <w:color w:val="auto"/>
          <w:sz w:val="22"/>
          <w:szCs w:val="22"/>
        </w:rPr>
      </w:pPr>
      <w:r w:rsidRPr="00D2132A">
        <w:rPr>
          <w:rStyle w:val="Strong"/>
          <w:rFonts w:ascii="Calibri" w:hAnsi="Calibri" w:cs="Calibri"/>
          <w:color w:val="auto"/>
          <w:sz w:val="22"/>
          <w:szCs w:val="22"/>
        </w:rPr>
        <w:t>Disposal</w:t>
      </w:r>
      <w:r w:rsidRPr="00D2132A">
        <w:rPr>
          <w:rStyle w:val="Strong"/>
          <w:rFonts w:ascii="Calibri" w:hAnsi="Calibri" w:cs="Calibri"/>
          <w:b w:val="0"/>
          <w:bCs w:val="0"/>
          <w:color w:val="auto"/>
          <w:sz w:val="22"/>
          <w:szCs w:val="22"/>
        </w:rPr>
        <w:t xml:space="preserve"> means a disposal by way of sale, transfer, lease, surrender, legal charge, mortgage, lien or debenture of or over any asset.</w:t>
      </w:r>
    </w:p>
    <w:p w14:paraId="07A28488" w14:textId="77777777" w:rsidR="00DE01B5" w:rsidRPr="00D2132A" w:rsidRDefault="00DE01B5" w:rsidP="00F434A8">
      <w:pPr>
        <w:pStyle w:val="Bodycopy"/>
        <w:jc w:val="both"/>
        <w:rPr>
          <w:rStyle w:val="Strong"/>
          <w:rFonts w:ascii="Calibri" w:hAnsi="Calibri" w:cs="Calibri"/>
          <w:color w:val="auto"/>
          <w:sz w:val="22"/>
          <w:szCs w:val="22"/>
        </w:rPr>
      </w:pPr>
    </w:p>
    <w:p w14:paraId="365FBA16" w14:textId="0CDCA494" w:rsidR="00AE4653" w:rsidRPr="00D2132A" w:rsidRDefault="00BF1A92" w:rsidP="00F434A8">
      <w:pPr>
        <w:pStyle w:val="Bodycopy"/>
        <w:jc w:val="both"/>
        <w:rPr>
          <w:rFonts w:ascii="Calibri" w:hAnsi="Calibri" w:cs="Calibri"/>
          <w:color w:val="auto"/>
          <w:sz w:val="22"/>
          <w:szCs w:val="22"/>
          <w:lang w:eastAsia="en-GB"/>
        </w:rPr>
      </w:pPr>
      <w:r w:rsidRPr="00D2132A">
        <w:rPr>
          <w:rStyle w:val="Strong"/>
          <w:rFonts w:ascii="Calibri" w:hAnsi="Calibri" w:cs="Calibri"/>
          <w:color w:val="auto"/>
          <w:sz w:val="22"/>
          <w:szCs w:val="22"/>
        </w:rPr>
        <w:t>Tangible assets</w:t>
      </w:r>
      <w:r w:rsidR="00AE4653" w:rsidRPr="00D2132A">
        <w:rPr>
          <w:rFonts w:ascii="Calibri" w:hAnsi="Calibri" w:cs="Calibri"/>
          <w:color w:val="auto"/>
          <w:sz w:val="22"/>
          <w:szCs w:val="22"/>
          <w:lang w:eastAsia="en-GB"/>
        </w:rPr>
        <w:t xml:space="preserve"> </w:t>
      </w:r>
      <w:r w:rsidR="003740C6" w:rsidRPr="00D2132A">
        <w:rPr>
          <w:rFonts w:ascii="Calibri" w:hAnsi="Calibri" w:cs="Calibri"/>
          <w:color w:val="auto"/>
          <w:sz w:val="22"/>
          <w:szCs w:val="22"/>
          <w:lang w:eastAsia="en-GB"/>
        </w:rPr>
        <w:t>means</w:t>
      </w:r>
      <w:r w:rsidR="00AE4653" w:rsidRPr="00D2132A">
        <w:rPr>
          <w:rFonts w:ascii="Calibri" w:hAnsi="Calibri" w:cs="Calibri"/>
          <w:color w:val="auto"/>
          <w:sz w:val="22"/>
          <w:szCs w:val="22"/>
          <w:lang w:eastAsia="en-GB"/>
        </w:rPr>
        <w:t xml:space="preserve"> assets </w:t>
      </w:r>
      <w:r w:rsidR="008F4CCC" w:rsidRPr="00D2132A">
        <w:rPr>
          <w:rFonts w:ascii="Calibri" w:hAnsi="Calibri" w:cs="Calibri"/>
          <w:color w:val="auto"/>
          <w:sz w:val="22"/>
          <w:szCs w:val="22"/>
          <w:lang w:eastAsia="en-GB"/>
        </w:rPr>
        <w:t>consisting of</w:t>
      </w:r>
      <w:r w:rsidR="00AE4653" w:rsidRPr="00D2132A">
        <w:rPr>
          <w:rFonts w:ascii="Calibri" w:hAnsi="Calibri" w:cs="Calibri"/>
          <w:color w:val="auto"/>
          <w:sz w:val="22"/>
          <w:szCs w:val="22"/>
          <w:lang w:eastAsia="en-GB"/>
        </w:rPr>
        <w:t xml:space="preserve"> land, buildings and plant,</w:t>
      </w:r>
      <w:r w:rsidRPr="00D2132A">
        <w:rPr>
          <w:rFonts w:ascii="Calibri" w:hAnsi="Calibri" w:cs="Calibri"/>
          <w:color w:val="auto"/>
          <w:sz w:val="22"/>
          <w:szCs w:val="22"/>
          <w:lang w:eastAsia="en-GB"/>
        </w:rPr>
        <w:t xml:space="preserve"> </w:t>
      </w:r>
      <w:r w:rsidR="003F04F2" w:rsidRPr="00D2132A">
        <w:rPr>
          <w:rFonts w:ascii="Calibri" w:hAnsi="Calibri" w:cs="Calibri"/>
          <w:color w:val="auto"/>
          <w:sz w:val="22"/>
          <w:szCs w:val="22"/>
          <w:lang w:eastAsia="en-GB"/>
        </w:rPr>
        <w:t>machinery and equipment.</w:t>
      </w:r>
    </w:p>
    <w:p w14:paraId="1172B895" w14:textId="77777777" w:rsidR="00AF7E36" w:rsidRPr="00D2132A" w:rsidRDefault="00AF7E36" w:rsidP="00F434A8">
      <w:pPr>
        <w:pStyle w:val="Bodycopy"/>
        <w:jc w:val="both"/>
        <w:rPr>
          <w:rStyle w:val="Strong"/>
          <w:rFonts w:ascii="Calibri" w:hAnsi="Calibri" w:cs="Calibri"/>
          <w:color w:val="auto"/>
          <w:sz w:val="22"/>
          <w:szCs w:val="22"/>
        </w:rPr>
      </w:pPr>
    </w:p>
    <w:p w14:paraId="791FF6C1" w14:textId="77777777" w:rsidR="00AE4653" w:rsidRPr="00D2132A" w:rsidRDefault="00BF1A92" w:rsidP="00F434A8">
      <w:pPr>
        <w:pStyle w:val="Bodycopy"/>
        <w:jc w:val="both"/>
        <w:rPr>
          <w:rFonts w:ascii="Calibri" w:hAnsi="Calibri" w:cs="Calibri"/>
          <w:color w:val="auto"/>
          <w:sz w:val="22"/>
          <w:szCs w:val="22"/>
          <w:lang w:eastAsia="en-GB"/>
        </w:rPr>
      </w:pPr>
      <w:r w:rsidRPr="00D2132A">
        <w:rPr>
          <w:rStyle w:val="Strong"/>
          <w:rFonts w:ascii="Calibri" w:hAnsi="Calibri" w:cs="Calibri"/>
          <w:color w:val="auto"/>
          <w:sz w:val="22"/>
          <w:szCs w:val="22"/>
        </w:rPr>
        <w:t>Intangible assets</w:t>
      </w:r>
      <w:r w:rsidR="00AE4653" w:rsidRPr="00D2132A">
        <w:rPr>
          <w:rFonts w:ascii="Calibri" w:hAnsi="Calibri" w:cs="Calibri"/>
          <w:color w:val="auto"/>
          <w:sz w:val="22"/>
          <w:szCs w:val="22"/>
          <w:lang w:eastAsia="en-GB"/>
        </w:rPr>
        <w:t xml:space="preserve"> means assets </w:t>
      </w:r>
      <w:r w:rsidR="008F4CCC" w:rsidRPr="00D2132A">
        <w:rPr>
          <w:rFonts w:ascii="Calibri" w:hAnsi="Calibri" w:cs="Calibri"/>
          <w:color w:val="auto"/>
          <w:sz w:val="22"/>
          <w:szCs w:val="22"/>
          <w:lang w:eastAsia="en-GB"/>
        </w:rPr>
        <w:t>that do not have a physical or financial embodiment such as patents, licences, know-how or other intellectual property</w:t>
      </w:r>
      <w:r w:rsidR="003F04F2" w:rsidRPr="00D2132A">
        <w:rPr>
          <w:rFonts w:ascii="Calibri" w:hAnsi="Calibri" w:cs="Calibri"/>
          <w:color w:val="auto"/>
          <w:sz w:val="22"/>
          <w:szCs w:val="22"/>
          <w:lang w:eastAsia="en-GB"/>
        </w:rPr>
        <w:t>.</w:t>
      </w:r>
    </w:p>
    <w:p w14:paraId="5A4A4704" w14:textId="77777777" w:rsidR="00AF7E36" w:rsidRPr="00D2132A" w:rsidRDefault="00AF7E36" w:rsidP="00F434A8">
      <w:pPr>
        <w:pStyle w:val="Bodycopy"/>
        <w:jc w:val="both"/>
        <w:rPr>
          <w:rStyle w:val="Strong"/>
          <w:rFonts w:ascii="Calibri" w:hAnsi="Calibri" w:cs="Calibri"/>
          <w:color w:val="auto"/>
          <w:sz w:val="22"/>
          <w:szCs w:val="22"/>
        </w:rPr>
      </w:pPr>
    </w:p>
    <w:p w14:paraId="6E935CDC" w14:textId="77777777" w:rsidR="00AE4653" w:rsidRPr="00D2132A" w:rsidRDefault="00BF1A92" w:rsidP="00F434A8">
      <w:pPr>
        <w:pStyle w:val="Bodycopy"/>
        <w:jc w:val="both"/>
        <w:rPr>
          <w:rFonts w:ascii="Calibri" w:hAnsi="Calibri" w:cs="Calibri"/>
          <w:color w:val="auto"/>
          <w:sz w:val="22"/>
          <w:szCs w:val="22"/>
          <w:lang w:eastAsia="en-GB"/>
        </w:rPr>
      </w:pPr>
      <w:r w:rsidRPr="00D2132A">
        <w:rPr>
          <w:rStyle w:val="Strong"/>
          <w:rFonts w:ascii="Calibri" w:hAnsi="Calibri" w:cs="Calibri"/>
          <w:color w:val="auto"/>
          <w:sz w:val="22"/>
          <w:szCs w:val="22"/>
        </w:rPr>
        <w:t>Number of employees</w:t>
      </w:r>
      <w:r w:rsidRPr="00D2132A">
        <w:rPr>
          <w:rFonts w:ascii="Calibri" w:hAnsi="Calibri" w:cs="Calibri"/>
          <w:b/>
          <w:i/>
          <w:color w:val="auto"/>
          <w:sz w:val="22"/>
          <w:szCs w:val="22"/>
          <w:lang w:eastAsia="en-GB"/>
        </w:rPr>
        <w:t xml:space="preserve"> </w:t>
      </w:r>
      <w:r w:rsidR="00AE4653" w:rsidRPr="00D2132A">
        <w:rPr>
          <w:rFonts w:ascii="Calibri" w:hAnsi="Calibri" w:cs="Calibri"/>
          <w:color w:val="auto"/>
          <w:sz w:val="22"/>
          <w:szCs w:val="22"/>
          <w:lang w:eastAsia="en-GB"/>
        </w:rPr>
        <w:t>means the number of annual labour units (ALU)</w:t>
      </w:r>
      <w:r w:rsidRPr="00D2132A">
        <w:rPr>
          <w:rFonts w:ascii="Calibri" w:hAnsi="Calibri" w:cs="Calibri"/>
          <w:color w:val="auto"/>
          <w:sz w:val="22"/>
          <w:szCs w:val="22"/>
          <w:lang w:eastAsia="en-GB"/>
        </w:rPr>
        <w:t xml:space="preserve"> </w:t>
      </w:r>
      <w:r w:rsidR="00AE4653" w:rsidRPr="00D2132A">
        <w:rPr>
          <w:rFonts w:ascii="Calibri" w:hAnsi="Calibri" w:cs="Calibri"/>
          <w:color w:val="auto"/>
          <w:sz w:val="22"/>
          <w:szCs w:val="22"/>
          <w:lang w:eastAsia="en-GB"/>
        </w:rPr>
        <w:t>f</w:t>
      </w:r>
      <w:r w:rsidR="003F04F2" w:rsidRPr="00D2132A">
        <w:rPr>
          <w:rFonts w:ascii="Calibri" w:hAnsi="Calibri" w:cs="Calibri"/>
          <w:color w:val="auto"/>
          <w:sz w:val="22"/>
          <w:szCs w:val="22"/>
          <w:lang w:eastAsia="en-GB"/>
        </w:rPr>
        <w:t>ull time equivalent (FTE) staff</w:t>
      </w:r>
      <w:r w:rsidR="00AE4653" w:rsidRPr="00D2132A">
        <w:rPr>
          <w:rFonts w:ascii="Calibri" w:hAnsi="Calibri" w:cs="Calibri"/>
          <w:color w:val="auto"/>
          <w:sz w:val="22"/>
          <w:szCs w:val="22"/>
          <w:lang w:eastAsia="en-GB"/>
        </w:rPr>
        <w:t>, namely the number of persons employed</w:t>
      </w:r>
      <w:r w:rsidRPr="00D2132A">
        <w:rPr>
          <w:rFonts w:ascii="Calibri" w:hAnsi="Calibri" w:cs="Calibri"/>
          <w:color w:val="auto"/>
          <w:sz w:val="22"/>
          <w:szCs w:val="22"/>
          <w:lang w:eastAsia="en-GB"/>
        </w:rPr>
        <w:t xml:space="preserve"> </w:t>
      </w:r>
      <w:r w:rsidR="00AE4653" w:rsidRPr="00D2132A">
        <w:rPr>
          <w:rFonts w:ascii="Calibri" w:hAnsi="Calibri" w:cs="Calibri"/>
          <w:color w:val="auto"/>
          <w:sz w:val="22"/>
          <w:szCs w:val="22"/>
          <w:lang w:eastAsia="en-GB"/>
        </w:rPr>
        <w:t>full time in one year, part-time and se</w:t>
      </w:r>
      <w:r w:rsidR="003F04F2" w:rsidRPr="00D2132A">
        <w:rPr>
          <w:rFonts w:ascii="Calibri" w:hAnsi="Calibri" w:cs="Calibri"/>
          <w:color w:val="auto"/>
          <w:sz w:val="22"/>
          <w:szCs w:val="22"/>
          <w:lang w:eastAsia="en-GB"/>
        </w:rPr>
        <w:t>asonal work being ALU fractions.</w:t>
      </w:r>
    </w:p>
    <w:p w14:paraId="265E6028" w14:textId="77777777" w:rsidR="00AF7E36" w:rsidRPr="00D2132A" w:rsidRDefault="00AF7E36" w:rsidP="00F434A8">
      <w:pPr>
        <w:pStyle w:val="Bodycopy"/>
        <w:jc w:val="both"/>
        <w:rPr>
          <w:rStyle w:val="Strong"/>
          <w:rFonts w:ascii="Calibri" w:hAnsi="Calibri" w:cs="Calibri"/>
          <w:color w:val="auto"/>
          <w:sz w:val="22"/>
          <w:szCs w:val="22"/>
        </w:rPr>
      </w:pPr>
    </w:p>
    <w:p w14:paraId="0D9B984E" w14:textId="77777777" w:rsidR="009720DE" w:rsidRPr="00D2132A" w:rsidRDefault="009720DE" w:rsidP="00F434A8">
      <w:pPr>
        <w:pStyle w:val="Bodycopy"/>
        <w:jc w:val="both"/>
        <w:rPr>
          <w:rFonts w:ascii="Calibri" w:hAnsi="Calibri" w:cs="Calibri"/>
          <w:color w:val="auto"/>
          <w:sz w:val="22"/>
          <w:szCs w:val="22"/>
          <w:lang w:eastAsia="en-GB"/>
        </w:rPr>
      </w:pPr>
      <w:r w:rsidRPr="00D2132A">
        <w:rPr>
          <w:rStyle w:val="Strong"/>
          <w:rFonts w:ascii="Calibri" w:hAnsi="Calibri" w:cs="Calibri"/>
          <w:color w:val="auto"/>
          <w:sz w:val="22"/>
          <w:szCs w:val="22"/>
        </w:rPr>
        <w:t>Undertaking in difficulty</w:t>
      </w:r>
      <w:r w:rsidRPr="00D2132A">
        <w:rPr>
          <w:rFonts w:ascii="Calibri" w:hAnsi="Calibri" w:cs="Calibri"/>
          <w:b/>
          <w:i/>
          <w:color w:val="auto"/>
          <w:sz w:val="22"/>
          <w:szCs w:val="22"/>
          <w:lang w:eastAsia="en-GB"/>
        </w:rPr>
        <w:t xml:space="preserve"> </w:t>
      </w:r>
      <w:r w:rsidRPr="00D2132A">
        <w:rPr>
          <w:rFonts w:ascii="Calibri" w:hAnsi="Calibri" w:cs="Calibri"/>
          <w:color w:val="auto"/>
          <w:sz w:val="22"/>
          <w:szCs w:val="22"/>
          <w:lang w:eastAsia="en-GB"/>
        </w:rPr>
        <w:t xml:space="preserve">means an undertaking in respect of which at least one of the following circumstances occurs: </w:t>
      </w:r>
    </w:p>
    <w:p w14:paraId="252E9D89" w14:textId="77777777" w:rsidR="009720DE" w:rsidRPr="00D2132A" w:rsidRDefault="009720DE" w:rsidP="00F434A8">
      <w:pPr>
        <w:pStyle w:val="Bulletedtextlevel2"/>
        <w:numPr>
          <w:ilvl w:val="0"/>
          <w:numId w:val="12"/>
        </w:numPr>
        <w:jc w:val="both"/>
        <w:rPr>
          <w:rFonts w:ascii="Calibri" w:hAnsi="Calibri" w:cs="Calibri"/>
          <w:color w:val="auto"/>
          <w:sz w:val="22"/>
          <w:szCs w:val="22"/>
          <w:lang w:eastAsia="en-GB"/>
        </w:rPr>
      </w:pPr>
      <w:r w:rsidRPr="00D2132A">
        <w:rPr>
          <w:rFonts w:ascii="Calibri" w:hAnsi="Calibri" w:cs="Calibri"/>
          <w:color w:val="auto"/>
          <w:sz w:val="22"/>
          <w:szCs w:val="22"/>
          <w:lang w:eastAsia="en-GB"/>
        </w:rPr>
        <w:t>In the case of a limited liability company (other than an SME that has been in existence for less than three years),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2013/34/EU34 and "share capital" includes, where relevant, any share premium.</w:t>
      </w:r>
    </w:p>
    <w:p w14:paraId="085E6943" w14:textId="47BE1D5D" w:rsidR="009720DE" w:rsidRPr="00D2132A" w:rsidRDefault="009720DE" w:rsidP="00F434A8">
      <w:pPr>
        <w:pStyle w:val="Bulletedtextlevel2"/>
        <w:numPr>
          <w:ilvl w:val="0"/>
          <w:numId w:val="12"/>
        </w:numPr>
        <w:jc w:val="both"/>
        <w:rPr>
          <w:rFonts w:ascii="Calibri" w:hAnsi="Calibri" w:cs="Calibri"/>
          <w:color w:val="auto"/>
          <w:sz w:val="22"/>
          <w:szCs w:val="22"/>
          <w:lang w:eastAsia="en-GB"/>
        </w:rPr>
      </w:pPr>
      <w:r w:rsidRPr="00D2132A">
        <w:rPr>
          <w:rFonts w:ascii="Calibri" w:hAnsi="Calibri" w:cs="Calibri"/>
          <w:color w:val="auto"/>
          <w:sz w:val="22"/>
          <w:szCs w:val="22"/>
          <w:lang w:eastAsia="en-GB"/>
        </w:rPr>
        <w:t>In the case of a company where at least some members have unlimited liability for the debt of the company (other than an SME that has been in existence for less than three years or, for the purposes of eligibility for risk finance aid, an SME within 7 years from its first commercial sale that qualifies for risk finance investments following due diligence by the selected financial intermediary), where more than half of its capital as shown in the company accounts has disappeared as a result of accumulated losses. For the purposes of this provision, "a company where at least some members have unlimited liabilit</w:t>
      </w:r>
      <w:r w:rsidR="00D2132A">
        <w:rPr>
          <w:rFonts w:ascii="Calibri" w:hAnsi="Calibri" w:cs="Calibri"/>
          <w:color w:val="auto"/>
          <w:sz w:val="22"/>
          <w:szCs w:val="22"/>
          <w:lang w:eastAsia="en-GB"/>
        </w:rPr>
        <w:t>y</w:t>
      </w:r>
      <w:r w:rsidRPr="00D2132A">
        <w:rPr>
          <w:rFonts w:ascii="Calibri" w:hAnsi="Calibri" w:cs="Calibri"/>
          <w:color w:val="auto"/>
          <w:sz w:val="22"/>
          <w:szCs w:val="22"/>
        </w:rPr>
        <w:t xml:space="preserve"> </w:t>
      </w:r>
      <w:r w:rsidRPr="00D2132A">
        <w:rPr>
          <w:rFonts w:ascii="Calibri" w:hAnsi="Calibri" w:cs="Calibri"/>
          <w:color w:val="auto"/>
          <w:sz w:val="22"/>
          <w:szCs w:val="22"/>
          <w:lang w:eastAsia="en-GB"/>
        </w:rPr>
        <w:t>for the debt of the company" refers in particular to the types of company mentioned in An</w:t>
      </w:r>
      <w:r w:rsidR="00844957" w:rsidRPr="00D2132A">
        <w:rPr>
          <w:rFonts w:ascii="Calibri" w:hAnsi="Calibri" w:cs="Calibri"/>
          <w:color w:val="auto"/>
          <w:sz w:val="22"/>
          <w:szCs w:val="22"/>
          <w:lang w:eastAsia="en-GB"/>
        </w:rPr>
        <w:t>nex II of Directive 2013/34/EU.</w:t>
      </w:r>
      <w:r w:rsidRPr="00D2132A">
        <w:rPr>
          <w:rFonts w:ascii="Calibri" w:hAnsi="Calibri" w:cs="Calibri"/>
          <w:color w:val="auto"/>
          <w:sz w:val="22"/>
          <w:szCs w:val="22"/>
          <w:lang w:eastAsia="en-GB"/>
        </w:rPr>
        <w:t xml:space="preserve"> </w:t>
      </w:r>
    </w:p>
    <w:p w14:paraId="28F8F6AC" w14:textId="77777777" w:rsidR="009720DE" w:rsidRPr="00D2132A" w:rsidRDefault="009720DE" w:rsidP="00F434A8">
      <w:pPr>
        <w:pStyle w:val="Bulletedtextlevel2"/>
        <w:numPr>
          <w:ilvl w:val="0"/>
          <w:numId w:val="12"/>
        </w:numPr>
        <w:jc w:val="both"/>
        <w:rPr>
          <w:rFonts w:ascii="Calibri" w:hAnsi="Calibri" w:cs="Calibri"/>
          <w:color w:val="auto"/>
          <w:sz w:val="22"/>
          <w:szCs w:val="22"/>
          <w:lang w:eastAsia="en-GB"/>
        </w:rPr>
      </w:pPr>
      <w:r w:rsidRPr="00D2132A">
        <w:rPr>
          <w:rFonts w:ascii="Calibri" w:hAnsi="Calibri" w:cs="Calibri"/>
          <w:color w:val="auto"/>
          <w:sz w:val="22"/>
          <w:szCs w:val="22"/>
          <w:lang w:eastAsia="en-GB"/>
        </w:rPr>
        <w:t>Where the undertaking is subject to collective insolvency proceedings or fulfils the criteria under its domestic law for being placed in collective insolvency proceedings at the request of its creditors.</w:t>
      </w:r>
    </w:p>
    <w:p w14:paraId="721BFB53" w14:textId="77777777" w:rsidR="009720DE" w:rsidRPr="00D2132A" w:rsidRDefault="009720DE" w:rsidP="00F434A8">
      <w:pPr>
        <w:pStyle w:val="Bulletedtextlevel2"/>
        <w:numPr>
          <w:ilvl w:val="0"/>
          <w:numId w:val="12"/>
        </w:numPr>
        <w:jc w:val="both"/>
        <w:rPr>
          <w:rFonts w:ascii="Calibri" w:hAnsi="Calibri" w:cs="Calibri"/>
          <w:color w:val="auto"/>
          <w:sz w:val="22"/>
          <w:szCs w:val="22"/>
          <w:lang w:eastAsia="en-GB"/>
        </w:rPr>
      </w:pPr>
      <w:r w:rsidRPr="00D2132A">
        <w:rPr>
          <w:rFonts w:ascii="Calibri" w:hAnsi="Calibri" w:cs="Calibri"/>
          <w:color w:val="auto"/>
          <w:sz w:val="22"/>
          <w:szCs w:val="22"/>
          <w:lang w:eastAsia="en-GB"/>
        </w:rPr>
        <w:t xml:space="preserve">Where the undertaking has received rescue aid and has not yet reimbursed the loan or terminated the guarantee, or has received restructuring aid and is still subject to a restructuring plan. </w:t>
      </w:r>
    </w:p>
    <w:p w14:paraId="36858D00" w14:textId="77777777" w:rsidR="00151913" w:rsidRPr="00D2132A" w:rsidRDefault="009720DE" w:rsidP="00F434A8">
      <w:pPr>
        <w:pStyle w:val="Bulletedtextlevel2"/>
        <w:numPr>
          <w:ilvl w:val="0"/>
          <w:numId w:val="12"/>
        </w:numPr>
        <w:jc w:val="both"/>
        <w:rPr>
          <w:rFonts w:ascii="Calibri" w:hAnsi="Calibri" w:cs="Calibri"/>
          <w:color w:val="auto"/>
          <w:sz w:val="22"/>
          <w:szCs w:val="22"/>
          <w:lang w:eastAsia="en-GB"/>
        </w:rPr>
      </w:pPr>
      <w:r w:rsidRPr="00D2132A">
        <w:rPr>
          <w:rFonts w:ascii="Calibri" w:hAnsi="Calibri" w:cs="Calibri"/>
          <w:color w:val="auto"/>
          <w:sz w:val="22"/>
          <w:szCs w:val="22"/>
          <w:lang w:eastAsia="en-GB"/>
        </w:rPr>
        <w:t>In the case of an undertaking that is not an SME</w:t>
      </w:r>
      <w:r w:rsidR="00844957" w:rsidRPr="00D2132A">
        <w:rPr>
          <w:rFonts w:ascii="Calibri" w:hAnsi="Calibri" w:cs="Calibri"/>
          <w:color w:val="auto"/>
          <w:sz w:val="22"/>
          <w:szCs w:val="22"/>
          <w:lang w:eastAsia="en-GB"/>
        </w:rPr>
        <w:t xml:space="preserve">, where, for the past two years </w:t>
      </w:r>
      <w:r w:rsidRPr="00D2132A">
        <w:rPr>
          <w:rFonts w:ascii="Calibri" w:hAnsi="Calibri" w:cs="Calibri"/>
          <w:color w:val="auto"/>
          <w:sz w:val="22"/>
          <w:szCs w:val="22"/>
          <w:lang w:eastAsia="en-GB"/>
        </w:rPr>
        <w:t>the undertaking’s book debt to equity ratio has been greater than 7.5 and</w:t>
      </w:r>
      <w:r w:rsidR="00844957" w:rsidRPr="00D2132A">
        <w:rPr>
          <w:rFonts w:ascii="Calibri" w:hAnsi="Calibri" w:cs="Calibri"/>
          <w:color w:val="auto"/>
          <w:sz w:val="22"/>
          <w:szCs w:val="22"/>
          <w:lang w:eastAsia="en-GB"/>
        </w:rPr>
        <w:t xml:space="preserve"> </w:t>
      </w:r>
      <w:r w:rsidRPr="00D2132A">
        <w:rPr>
          <w:rFonts w:ascii="Calibri" w:hAnsi="Calibri" w:cs="Calibri"/>
          <w:color w:val="auto"/>
          <w:sz w:val="22"/>
          <w:szCs w:val="22"/>
          <w:lang w:eastAsia="en-GB"/>
        </w:rPr>
        <w:t>the undertaking's EBITDA interest coverage ratio has been below 1.0.</w:t>
      </w:r>
    </w:p>
    <w:p w14:paraId="796812A1" w14:textId="77777777" w:rsidR="00AF7E36" w:rsidRPr="00D2132A" w:rsidRDefault="00AF7E36" w:rsidP="00F434A8">
      <w:pPr>
        <w:pStyle w:val="Bodycopy"/>
        <w:jc w:val="both"/>
        <w:rPr>
          <w:rFonts w:ascii="Calibri" w:hAnsi="Calibri" w:cs="Calibri"/>
          <w:b/>
          <w:i/>
          <w:color w:val="auto"/>
          <w:sz w:val="22"/>
          <w:szCs w:val="22"/>
          <w:lang w:eastAsia="en-GB"/>
        </w:rPr>
      </w:pPr>
    </w:p>
    <w:p w14:paraId="289FA29A" w14:textId="42C12D2A" w:rsidR="00AE4653" w:rsidRPr="00D2132A" w:rsidRDefault="003C755C" w:rsidP="00F434A8">
      <w:pPr>
        <w:pStyle w:val="Bodycopy"/>
        <w:jc w:val="both"/>
        <w:rPr>
          <w:rFonts w:ascii="Calibri" w:hAnsi="Calibri" w:cs="Calibri"/>
          <w:color w:val="auto"/>
          <w:sz w:val="22"/>
          <w:szCs w:val="22"/>
          <w:lang w:eastAsia="en-GB"/>
        </w:rPr>
      </w:pPr>
      <w:r w:rsidRPr="00D2132A">
        <w:rPr>
          <w:rFonts w:ascii="Calibri" w:hAnsi="Calibri" w:cs="Calibri"/>
          <w:b/>
          <w:color w:val="auto"/>
          <w:sz w:val="22"/>
          <w:szCs w:val="22"/>
          <w:lang w:eastAsia="en-GB"/>
        </w:rPr>
        <w:t>C</w:t>
      </w:r>
      <w:r w:rsidR="000D0198" w:rsidRPr="00D2132A">
        <w:rPr>
          <w:rFonts w:ascii="Calibri" w:hAnsi="Calibri" w:cs="Calibri"/>
          <w:b/>
          <w:color w:val="auto"/>
          <w:sz w:val="22"/>
          <w:szCs w:val="22"/>
          <w:lang w:eastAsia="en-GB"/>
        </w:rPr>
        <w:t>ompletion</w:t>
      </w:r>
      <w:r w:rsidRPr="00D2132A">
        <w:rPr>
          <w:rFonts w:ascii="Calibri" w:hAnsi="Calibri" w:cs="Calibri"/>
          <w:b/>
          <w:color w:val="auto"/>
          <w:sz w:val="22"/>
          <w:szCs w:val="22"/>
          <w:lang w:eastAsia="en-GB"/>
        </w:rPr>
        <w:t xml:space="preserve"> of works</w:t>
      </w:r>
      <w:r w:rsidR="00AE4653" w:rsidRPr="00D2132A">
        <w:rPr>
          <w:rFonts w:ascii="Calibri" w:hAnsi="Calibri" w:cs="Calibri"/>
          <w:color w:val="auto"/>
          <w:sz w:val="22"/>
          <w:szCs w:val="22"/>
          <w:lang w:eastAsia="en-GB"/>
        </w:rPr>
        <w:t xml:space="preserve"> is defined </w:t>
      </w:r>
      <w:r w:rsidR="00E619A2" w:rsidRPr="00D2132A">
        <w:rPr>
          <w:rFonts w:ascii="Calibri" w:hAnsi="Calibri" w:cs="Calibri"/>
          <w:color w:val="auto"/>
          <w:sz w:val="22"/>
          <w:szCs w:val="22"/>
          <w:lang w:eastAsia="en-GB"/>
        </w:rPr>
        <w:t>f</w:t>
      </w:r>
      <w:r w:rsidR="00AE4653" w:rsidRPr="00D2132A">
        <w:rPr>
          <w:rFonts w:ascii="Calibri" w:hAnsi="Calibri" w:cs="Calibri"/>
          <w:color w:val="auto"/>
          <w:sz w:val="22"/>
          <w:szCs w:val="22"/>
          <w:lang w:eastAsia="en-GB"/>
        </w:rPr>
        <w:t>or the purposes</w:t>
      </w:r>
      <w:r w:rsidR="000D0198" w:rsidRPr="00D2132A">
        <w:rPr>
          <w:rFonts w:ascii="Calibri" w:hAnsi="Calibri" w:cs="Calibri"/>
          <w:color w:val="auto"/>
          <w:sz w:val="22"/>
          <w:szCs w:val="22"/>
          <w:lang w:eastAsia="en-GB"/>
        </w:rPr>
        <w:t xml:space="preserve"> </w:t>
      </w:r>
      <w:r w:rsidR="00AE4653" w:rsidRPr="00D2132A">
        <w:rPr>
          <w:rFonts w:ascii="Calibri" w:hAnsi="Calibri" w:cs="Calibri"/>
          <w:color w:val="auto"/>
          <w:sz w:val="22"/>
          <w:szCs w:val="22"/>
          <w:lang w:eastAsia="en-GB"/>
        </w:rPr>
        <w:t xml:space="preserve">of </w:t>
      </w:r>
      <w:r w:rsidR="00E20D62">
        <w:rPr>
          <w:rFonts w:ascii="Calibri" w:hAnsi="Calibri" w:cs="Calibri"/>
          <w:color w:val="auto"/>
          <w:sz w:val="22"/>
          <w:szCs w:val="22"/>
          <w:lang w:eastAsia="en-GB"/>
        </w:rPr>
        <w:t>UK SPF</w:t>
      </w:r>
      <w:r w:rsidR="00F434A8" w:rsidRPr="00D2132A">
        <w:rPr>
          <w:rFonts w:ascii="Calibri" w:hAnsi="Calibri" w:cs="Calibri"/>
          <w:color w:val="auto"/>
          <w:sz w:val="22"/>
          <w:szCs w:val="22"/>
          <w:lang w:eastAsia="en-GB"/>
        </w:rPr>
        <w:t xml:space="preserve"> Grants </w:t>
      </w:r>
      <w:r w:rsidR="00612905" w:rsidRPr="00D2132A">
        <w:rPr>
          <w:rFonts w:ascii="Calibri" w:hAnsi="Calibri" w:cs="Calibri"/>
          <w:color w:val="auto"/>
          <w:sz w:val="22"/>
          <w:szCs w:val="22"/>
          <w:lang w:eastAsia="en-GB"/>
        </w:rPr>
        <w:t>Fund</w:t>
      </w:r>
      <w:r w:rsidR="00AE4653" w:rsidRPr="00D2132A">
        <w:rPr>
          <w:rFonts w:ascii="Calibri" w:hAnsi="Calibri" w:cs="Calibri"/>
          <w:color w:val="auto"/>
          <w:sz w:val="22"/>
          <w:szCs w:val="22"/>
          <w:lang w:eastAsia="en-GB"/>
        </w:rPr>
        <w:t xml:space="preserve"> </w:t>
      </w:r>
      <w:r w:rsidR="00BD1E22" w:rsidRPr="00D2132A">
        <w:rPr>
          <w:rFonts w:ascii="Calibri" w:hAnsi="Calibri" w:cs="Calibri"/>
          <w:color w:val="auto"/>
          <w:sz w:val="22"/>
          <w:szCs w:val="22"/>
          <w:lang w:eastAsia="en-GB"/>
        </w:rPr>
        <w:t>as</w:t>
      </w:r>
      <w:r w:rsidR="00AE4653" w:rsidRPr="00D2132A">
        <w:rPr>
          <w:rFonts w:ascii="Calibri" w:hAnsi="Calibri" w:cs="Calibri"/>
          <w:color w:val="auto"/>
          <w:sz w:val="22"/>
          <w:szCs w:val="22"/>
          <w:lang w:eastAsia="en-GB"/>
        </w:rPr>
        <w:t xml:space="preserve"> the date of mechanical completion of the</w:t>
      </w:r>
      <w:r w:rsidR="000D0198" w:rsidRPr="00D2132A">
        <w:rPr>
          <w:rFonts w:ascii="Calibri" w:hAnsi="Calibri" w:cs="Calibri"/>
          <w:color w:val="auto"/>
          <w:sz w:val="22"/>
          <w:szCs w:val="22"/>
          <w:lang w:eastAsia="en-GB"/>
        </w:rPr>
        <w:t xml:space="preserve"> </w:t>
      </w:r>
      <w:r w:rsidR="00AE4653" w:rsidRPr="00D2132A">
        <w:rPr>
          <w:rFonts w:ascii="Calibri" w:hAnsi="Calibri" w:cs="Calibri"/>
          <w:color w:val="auto"/>
          <w:sz w:val="22"/>
          <w:szCs w:val="22"/>
          <w:lang w:eastAsia="en-GB"/>
        </w:rPr>
        <w:t>investment project, or the date that the material assets associated with an</w:t>
      </w:r>
      <w:r w:rsidR="000D0198" w:rsidRPr="00D2132A">
        <w:rPr>
          <w:rFonts w:ascii="Calibri" w:hAnsi="Calibri" w:cs="Calibri"/>
          <w:color w:val="auto"/>
          <w:sz w:val="22"/>
          <w:szCs w:val="22"/>
          <w:lang w:eastAsia="en-GB"/>
        </w:rPr>
        <w:t xml:space="preserve"> </w:t>
      </w:r>
      <w:r w:rsidR="00AE4653" w:rsidRPr="00D2132A">
        <w:rPr>
          <w:rFonts w:ascii="Calibri" w:hAnsi="Calibri" w:cs="Calibri"/>
          <w:color w:val="auto"/>
          <w:sz w:val="22"/>
          <w:szCs w:val="22"/>
          <w:lang w:eastAsia="en-GB"/>
        </w:rPr>
        <w:t>investment project become op</w:t>
      </w:r>
      <w:r w:rsidR="003F04F2" w:rsidRPr="00D2132A">
        <w:rPr>
          <w:rFonts w:ascii="Calibri" w:hAnsi="Calibri" w:cs="Calibri"/>
          <w:color w:val="auto"/>
          <w:sz w:val="22"/>
          <w:szCs w:val="22"/>
          <w:lang w:eastAsia="en-GB"/>
        </w:rPr>
        <w:t>erational, whichever is earlier.</w:t>
      </w:r>
    </w:p>
    <w:p w14:paraId="0F2DA805" w14:textId="77777777" w:rsidR="00AF7E36" w:rsidRPr="00D2132A" w:rsidRDefault="00AF7E36" w:rsidP="00F434A8">
      <w:pPr>
        <w:pStyle w:val="Bodycopy"/>
        <w:jc w:val="both"/>
        <w:rPr>
          <w:rFonts w:ascii="Calibri" w:hAnsi="Calibri" w:cs="Calibri"/>
          <w:color w:val="auto"/>
          <w:sz w:val="22"/>
          <w:szCs w:val="22"/>
          <w:lang w:eastAsia="en-GB"/>
        </w:rPr>
      </w:pPr>
    </w:p>
    <w:p w14:paraId="65937286" w14:textId="77777777" w:rsidR="008E04C5" w:rsidRPr="00D2132A" w:rsidRDefault="008E04C5" w:rsidP="00F434A8">
      <w:pPr>
        <w:pStyle w:val="Bodycopy"/>
        <w:jc w:val="both"/>
        <w:rPr>
          <w:rFonts w:ascii="Calibri" w:hAnsi="Calibri" w:cs="Calibri"/>
          <w:color w:val="auto"/>
          <w:sz w:val="22"/>
          <w:szCs w:val="22"/>
          <w:lang w:eastAsia="en-GB"/>
        </w:rPr>
      </w:pPr>
      <w:r w:rsidRPr="00D2132A">
        <w:rPr>
          <w:rFonts w:ascii="Calibri" w:hAnsi="Calibri" w:cs="Calibri"/>
          <w:b/>
          <w:color w:val="auto"/>
          <w:sz w:val="22"/>
          <w:szCs w:val="22"/>
          <w:lang w:eastAsia="en-GB"/>
        </w:rPr>
        <w:t xml:space="preserve">Start of works </w:t>
      </w:r>
      <w:r w:rsidRPr="00D2132A">
        <w:rPr>
          <w:rFonts w:ascii="Calibri" w:hAnsi="Calibri" w:cs="Calibri"/>
          <w:color w:val="auto"/>
          <w:sz w:val="22"/>
          <w:szCs w:val="22"/>
          <w:lang w:eastAsia="en-GB"/>
        </w:rPr>
        <w:t>means the earlier of either the start of construction works relating to the investment, or the first legally binding commitment to order equipment or any other commitment that makes the investment irre</w:t>
      </w:r>
      <w:r w:rsidR="00F64EB5" w:rsidRPr="00D2132A">
        <w:rPr>
          <w:rFonts w:ascii="Calibri" w:hAnsi="Calibri" w:cs="Calibri"/>
          <w:color w:val="auto"/>
          <w:sz w:val="22"/>
          <w:szCs w:val="22"/>
          <w:lang w:eastAsia="en-GB"/>
        </w:rPr>
        <w:t>versible. Buying land and prepar</w:t>
      </w:r>
      <w:r w:rsidRPr="00D2132A">
        <w:rPr>
          <w:rFonts w:ascii="Calibri" w:hAnsi="Calibri" w:cs="Calibri"/>
          <w:color w:val="auto"/>
          <w:sz w:val="22"/>
          <w:szCs w:val="22"/>
          <w:lang w:eastAsia="en-GB"/>
        </w:rPr>
        <w:t>atory works such as obtaining permits and conducting feasibility studies are not considered start of works. For take-overs, ‘start of works’ means the moment of acquiring the assets directly linked to the acquired establishment</w:t>
      </w:r>
      <w:r w:rsidR="008D1799" w:rsidRPr="00D2132A">
        <w:rPr>
          <w:rFonts w:ascii="Calibri" w:hAnsi="Calibri" w:cs="Calibri"/>
          <w:color w:val="auto"/>
          <w:sz w:val="22"/>
          <w:szCs w:val="22"/>
          <w:lang w:eastAsia="en-GB"/>
        </w:rPr>
        <w:t>.</w:t>
      </w:r>
    </w:p>
    <w:p w14:paraId="649D6D0C" w14:textId="77777777" w:rsidR="00AF7E36" w:rsidRPr="00D2132A" w:rsidRDefault="00AF7E36" w:rsidP="00F434A8">
      <w:pPr>
        <w:pStyle w:val="Bodycopy"/>
        <w:jc w:val="both"/>
        <w:rPr>
          <w:rFonts w:ascii="Calibri" w:hAnsi="Calibri" w:cs="Calibri"/>
          <w:color w:val="auto"/>
          <w:sz w:val="22"/>
          <w:szCs w:val="22"/>
          <w:lang w:eastAsia="en-GB"/>
        </w:rPr>
      </w:pPr>
    </w:p>
    <w:p w14:paraId="066D548F" w14:textId="77777777" w:rsidR="00762119" w:rsidRPr="00D2132A" w:rsidRDefault="00762119" w:rsidP="00F434A8">
      <w:pPr>
        <w:pStyle w:val="Bodycopy"/>
        <w:jc w:val="both"/>
        <w:rPr>
          <w:rFonts w:ascii="Calibri" w:hAnsi="Calibri" w:cs="Calibri"/>
          <w:color w:val="auto"/>
          <w:sz w:val="22"/>
          <w:szCs w:val="22"/>
          <w:lang w:eastAsia="en-GB"/>
        </w:rPr>
      </w:pPr>
      <w:r w:rsidRPr="00D2132A">
        <w:rPr>
          <w:rFonts w:ascii="Calibri" w:hAnsi="Calibri" w:cs="Calibri"/>
          <w:b/>
          <w:color w:val="auto"/>
          <w:sz w:val="22"/>
          <w:szCs w:val="22"/>
          <w:lang w:eastAsia="en-GB"/>
        </w:rPr>
        <w:t>Initial investment in favour of new economic activity</w:t>
      </w:r>
      <w:r w:rsidRPr="00D2132A">
        <w:rPr>
          <w:rFonts w:ascii="Calibri" w:hAnsi="Calibri" w:cs="Calibri"/>
          <w:b/>
          <w:i/>
          <w:color w:val="auto"/>
          <w:sz w:val="22"/>
          <w:szCs w:val="22"/>
          <w:lang w:eastAsia="en-GB"/>
        </w:rPr>
        <w:t xml:space="preserve"> </w:t>
      </w:r>
      <w:r w:rsidRPr="00D2132A">
        <w:rPr>
          <w:rFonts w:ascii="Calibri" w:hAnsi="Calibri" w:cs="Calibri"/>
          <w:color w:val="auto"/>
          <w:sz w:val="22"/>
          <w:szCs w:val="22"/>
          <w:lang w:eastAsia="en-GB"/>
        </w:rPr>
        <w:t xml:space="preserve">means: </w:t>
      </w:r>
    </w:p>
    <w:p w14:paraId="2B519458" w14:textId="77777777" w:rsidR="00762119" w:rsidRPr="00D2132A" w:rsidRDefault="00762119" w:rsidP="00F434A8">
      <w:pPr>
        <w:pStyle w:val="Bulletedtextlevel2"/>
        <w:jc w:val="both"/>
        <w:rPr>
          <w:rFonts w:ascii="Calibri" w:hAnsi="Calibri" w:cs="Calibri"/>
          <w:color w:val="auto"/>
          <w:sz w:val="22"/>
          <w:szCs w:val="22"/>
          <w:lang w:eastAsia="en-GB"/>
        </w:rPr>
      </w:pPr>
      <w:r w:rsidRPr="00D2132A">
        <w:rPr>
          <w:rFonts w:ascii="Calibri" w:hAnsi="Calibri" w:cs="Calibri"/>
          <w:color w:val="auto"/>
          <w:sz w:val="22"/>
          <w:szCs w:val="22"/>
          <w:lang w:eastAsia="en-GB"/>
        </w:rPr>
        <w:t xml:space="preserve">an investment in tangible and intangible assets related to the setting up of a new establishment, or to the diversification of the activity of an establishment, under the condition that the new activity is not the same or a similar activity to the activity previously </w:t>
      </w:r>
      <w:r w:rsidR="008D1799" w:rsidRPr="00D2132A">
        <w:rPr>
          <w:rFonts w:ascii="Calibri" w:hAnsi="Calibri" w:cs="Calibri"/>
          <w:color w:val="auto"/>
          <w:sz w:val="22"/>
          <w:szCs w:val="22"/>
          <w:lang w:eastAsia="en-GB"/>
        </w:rPr>
        <w:t>performed in the establishment</w:t>
      </w:r>
    </w:p>
    <w:p w14:paraId="73B4B5C1" w14:textId="77777777" w:rsidR="00524902" w:rsidRPr="00D2132A" w:rsidRDefault="00762119" w:rsidP="00F434A8">
      <w:pPr>
        <w:pStyle w:val="Bulletedtextlevel2"/>
        <w:jc w:val="both"/>
        <w:rPr>
          <w:rFonts w:ascii="Calibri" w:hAnsi="Calibri" w:cs="Calibri"/>
          <w:color w:val="auto"/>
          <w:sz w:val="22"/>
          <w:szCs w:val="22"/>
          <w:lang w:eastAsia="en-GB"/>
        </w:rPr>
      </w:pPr>
      <w:r w:rsidRPr="00D2132A">
        <w:rPr>
          <w:rFonts w:ascii="Calibri" w:hAnsi="Calibri" w:cs="Calibri"/>
          <w:color w:val="auto"/>
          <w:sz w:val="22"/>
          <w:szCs w:val="22"/>
          <w:lang w:eastAsia="en-GB"/>
        </w:rPr>
        <w:t>the acquisition of the assets belonging to an establishment that has closed or would have closed had it not been purchased, and is bought by an investor unrelated to the seller, under the condition that the new activity to be performed using the acquired assets is not the same or a similar activity to the activity performed in the establi</w:t>
      </w:r>
      <w:r w:rsidR="008D1799" w:rsidRPr="00D2132A">
        <w:rPr>
          <w:rFonts w:ascii="Calibri" w:hAnsi="Calibri" w:cs="Calibri"/>
          <w:color w:val="auto"/>
          <w:sz w:val="22"/>
          <w:szCs w:val="22"/>
          <w:lang w:eastAsia="en-GB"/>
        </w:rPr>
        <w:t>shment prior to the acquisition</w:t>
      </w:r>
      <w:r w:rsidR="00E242D4" w:rsidRPr="00D2132A">
        <w:rPr>
          <w:rFonts w:ascii="Calibri" w:hAnsi="Calibri" w:cs="Calibri"/>
          <w:color w:val="auto"/>
          <w:sz w:val="22"/>
          <w:szCs w:val="22"/>
          <w:lang w:eastAsia="en-GB"/>
        </w:rPr>
        <w:t>.</w:t>
      </w:r>
    </w:p>
    <w:p w14:paraId="75AD45C9" w14:textId="117D1D75" w:rsidR="009A69DE" w:rsidRPr="00F434A8" w:rsidRDefault="0019400B" w:rsidP="00F434A8">
      <w:pPr>
        <w:pStyle w:val="Bulletedtextlevel2"/>
        <w:numPr>
          <w:ilvl w:val="0"/>
          <w:numId w:val="0"/>
        </w:numPr>
        <w:ind w:left="238"/>
        <w:jc w:val="both"/>
        <w:rPr>
          <w:rFonts w:ascii="Calibri" w:hAnsi="Calibri" w:cs="Calibri"/>
          <w:sz w:val="22"/>
          <w:szCs w:val="22"/>
        </w:rPr>
      </w:pPr>
      <w:r w:rsidRPr="00F434A8">
        <w:rPr>
          <w:rFonts w:ascii="Calibri" w:hAnsi="Calibri" w:cs="Calibri"/>
          <w:sz w:val="22"/>
          <w:szCs w:val="22"/>
        </w:rPr>
        <w:t xml:space="preserve"> </w:t>
      </w:r>
      <w:bookmarkEnd w:id="0"/>
    </w:p>
    <w:sectPr w:rsidR="009A69DE" w:rsidRPr="00F434A8" w:rsidSect="00CE39B8">
      <w:pgSz w:w="11906" w:h="16838" w:code="9"/>
      <w:pgMar w:top="2410" w:right="851" w:bottom="1134" w:left="85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D77DE" w14:textId="77777777" w:rsidR="00916A4D" w:rsidRDefault="00916A4D" w:rsidP="00A400E5">
      <w:r>
        <w:separator/>
      </w:r>
    </w:p>
  </w:endnote>
  <w:endnote w:type="continuationSeparator" w:id="0">
    <w:p w14:paraId="19A114D6" w14:textId="77777777" w:rsidR="00916A4D" w:rsidRDefault="00916A4D" w:rsidP="00A400E5">
      <w:r>
        <w:continuationSeparator/>
      </w:r>
    </w:p>
  </w:endnote>
  <w:endnote w:type="continuationNotice" w:id="1">
    <w:p w14:paraId="1A151584" w14:textId="77777777" w:rsidR="00916A4D" w:rsidRDefault="00916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45 Ligh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825283"/>
      <w:docPartObj>
        <w:docPartGallery w:val="Page Numbers (Bottom of Page)"/>
        <w:docPartUnique/>
      </w:docPartObj>
    </w:sdtPr>
    <w:sdtEndPr/>
    <w:sdtContent>
      <w:sdt>
        <w:sdtPr>
          <w:id w:val="-1705238520"/>
          <w:docPartObj>
            <w:docPartGallery w:val="Page Numbers (Top of Page)"/>
            <w:docPartUnique/>
          </w:docPartObj>
        </w:sdtPr>
        <w:sdtEndPr/>
        <w:sdtContent>
          <w:p w14:paraId="239A46F3" w14:textId="256996BA" w:rsidR="00BB3071" w:rsidRDefault="00BB3071" w:rsidP="005676D1">
            <w:pPr>
              <w:pStyle w:val="Footer"/>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3293"/>
              <w:gridCol w:w="3403"/>
            </w:tblGrid>
            <w:tr w:rsidR="00BB3071" w14:paraId="06E435BF" w14:textId="77777777" w:rsidTr="003B43FC">
              <w:trPr>
                <w:trHeight w:val="1055"/>
                <w:jc w:val="center"/>
              </w:trPr>
              <w:tc>
                <w:tcPr>
                  <w:tcW w:w="3509" w:type="dxa"/>
                  <w:vAlign w:val="center"/>
                </w:tcPr>
                <w:p w14:paraId="63E2189E" w14:textId="4C809767" w:rsidR="00BB3071" w:rsidRDefault="00BB3071" w:rsidP="005676D1">
                  <w:pPr>
                    <w:pStyle w:val="Footer"/>
                    <w:jc w:val="center"/>
                  </w:pPr>
                  <w:r>
                    <w:rPr>
                      <w:noProof/>
                    </w:rPr>
                    <w:drawing>
                      <wp:inline distT="0" distB="0" distL="0" distR="0" wp14:anchorId="7C3D3111" wp14:editId="50342249">
                        <wp:extent cx="2009256" cy="441960"/>
                        <wp:effectExtent l="0" t="0" r="0" b="0"/>
                        <wp:docPr id="574590562" name="Picture 574590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92255" name="Graphic 3259225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1778" cy="455712"/>
                                </a:xfrm>
                                <a:prstGeom prst="rect">
                                  <a:avLst/>
                                </a:prstGeom>
                              </pic:spPr>
                            </pic:pic>
                          </a:graphicData>
                        </a:graphic>
                      </wp:inline>
                    </w:drawing>
                  </w:r>
                </w:p>
              </w:tc>
              <w:tc>
                <w:tcPr>
                  <w:tcW w:w="3322" w:type="dxa"/>
                  <w:vAlign w:val="center"/>
                </w:tcPr>
                <w:p w14:paraId="6EF41879" w14:textId="77777777" w:rsidR="00BB3071" w:rsidRDefault="00BB3071" w:rsidP="005676D1">
                  <w:pPr>
                    <w:pStyle w:val="Footer"/>
                    <w:jc w:val="center"/>
                  </w:pPr>
                </w:p>
                <w:p w14:paraId="79FE1772" w14:textId="349717A8" w:rsidR="002D2A5B" w:rsidRDefault="002711D2" w:rsidP="002D2A5B">
                  <w:pPr>
                    <w:pStyle w:val="Footer"/>
                    <w:jc w:val="center"/>
                  </w:pPr>
                  <w:r>
                    <w:t>UK SPF</w:t>
                  </w:r>
                  <w:r w:rsidR="002D2A5B">
                    <w:t xml:space="preserve"> Guide Lines</w:t>
                  </w:r>
                </w:p>
                <w:p w14:paraId="23D66920" w14:textId="7B2ADB53" w:rsidR="002D2A5B" w:rsidRDefault="002D2A5B" w:rsidP="002D2A5B">
                  <w:pPr>
                    <w:pStyle w:val="Footer"/>
                    <w:jc w:val="center"/>
                  </w:pPr>
                  <w:r w:rsidRPr="00BB3071">
                    <w:t>Version</w:t>
                  </w:r>
                  <w:r>
                    <w:t xml:space="preserve"> </w:t>
                  </w:r>
                  <w:r w:rsidR="006B1BDC">
                    <w:t>1</w:t>
                  </w:r>
                </w:p>
                <w:p w14:paraId="08B6D61E" w14:textId="0BCB1025" w:rsidR="00BB3071" w:rsidRDefault="002D2A5B" w:rsidP="004C0635">
                  <w:pPr>
                    <w:pStyle w:val="Footer"/>
                    <w:jc w:val="center"/>
                  </w:pPr>
                  <w:r>
                    <w:t xml:space="preserve">Issued: </w:t>
                  </w:r>
                  <w:r w:rsidR="006B1BDC">
                    <w:t>April 25</w:t>
                  </w:r>
                </w:p>
                <w:p w14:paraId="73D74C46" w14:textId="423BBC62" w:rsidR="00BB3071" w:rsidRDefault="00BB3071" w:rsidP="005676D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14</w:t>
                  </w:r>
                  <w:r>
                    <w:rPr>
                      <w:b/>
                      <w:bCs/>
                      <w:sz w:val="24"/>
                      <w:szCs w:val="24"/>
                    </w:rPr>
                    <w:fldChar w:fldCharType="end"/>
                  </w:r>
                </w:p>
              </w:tc>
              <w:tc>
                <w:tcPr>
                  <w:tcW w:w="3333" w:type="dxa"/>
                  <w:vAlign w:val="center"/>
                </w:tcPr>
                <w:p w14:paraId="25960255" w14:textId="7F052F2B" w:rsidR="00BB3071" w:rsidRDefault="003B43FC" w:rsidP="005676D1">
                  <w:pPr>
                    <w:pStyle w:val="Footer"/>
                    <w:jc w:val="center"/>
                  </w:pPr>
                  <w:r>
                    <w:rPr>
                      <w:noProof/>
                    </w:rPr>
                    <w:drawing>
                      <wp:inline distT="0" distB="0" distL="0" distR="0" wp14:anchorId="0DA83D7C" wp14:editId="176E56D0">
                        <wp:extent cx="2023745" cy="365760"/>
                        <wp:effectExtent l="0" t="0" r="0" b="0"/>
                        <wp:docPr id="1591683792" name="Picture 1591683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3745" cy="365760"/>
                                </a:xfrm>
                                <a:prstGeom prst="rect">
                                  <a:avLst/>
                                </a:prstGeom>
                                <a:noFill/>
                              </pic:spPr>
                            </pic:pic>
                          </a:graphicData>
                        </a:graphic>
                      </wp:inline>
                    </w:drawing>
                  </w:r>
                </w:p>
              </w:tc>
            </w:tr>
          </w:tbl>
          <w:p w14:paraId="6AEECB56" w14:textId="0922F4FC" w:rsidR="005676D1" w:rsidRDefault="00331C74" w:rsidP="005676D1">
            <w:pPr>
              <w:pStyle w:val="Footer"/>
              <w:jc w:val="center"/>
            </w:pPr>
          </w:p>
        </w:sdtContent>
      </w:sdt>
    </w:sdtContent>
  </w:sdt>
  <w:p w14:paraId="2E0F61F7" w14:textId="77777777" w:rsidR="00012164" w:rsidRPr="004F6B88" w:rsidRDefault="00012164" w:rsidP="0001216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9369"/>
      <w:docPartObj>
        <w:docPartGallery w:val="Page Numbers (Bottom of Page)"/>
        <w:docPartUnique/>
      </w:docPartObj>
    </w:sdtPr>
    <w:sdtEndPr/>
    <w:sdtContent>
      <w:sdt>
        <w:sdtPr>
          <w:id w:val="1728636285"/>
          <w:docPartObj>
            <w:docPartGallery w:val="Page Numbers (Top of Page)"/>
            <w:docPartUnique/>
          </w:docPartObj>
        </w:sdtPr>
        <w:sdtEndPr/>
        <w:sdtContent>
          <w:p w14:paraId="279C420C" w14:textId="77777777" w:rsidR="005676D1" w:rsidRDefault="005676D1">
            <w:pPr>
              <w:pStyle w:val="Footer"/>
              <w:jc w:val="center"/>
              <w:rPr>
                <w:noProof/>
              </w:rPr>
            </w:pPr>
          </w:p>
          <w:tbl>
            <w:tblPr>
              <w:tblStyle w:val="TableGrid"/>
              <w:tblW w:w="10632" w:type="dxa"/>
              <w:tblInd w:w="-431" w:type="dxa"/>
              <w:tblBorders>
                <w:insideH w:val="none" w:sz="0" w:space="0" w:color="auto"/>
                <w:insideV w:val="none" w:sz="0" w:space="0" w:color="auto"/>
              </w:tblBorders>
              <w:tblLook w:val="04A0" w:firstRow="1" w:lastRow="0" w:firstColumn="1" w:lastColumn="0" w:noHBand="0" w:noVBand="1"/>
            </w:tblPr>
            <w:tblGrid>
              <w:gridCol w:w="3767"/>
              <w:gridCol w:w="3135"/>
              <w:gridCol w:w="3730"/>
            </w:tblGrid>
            <w:tr w:rsidR="005676D1" w14:paraId="4884F828" w14:textId="77777777" w:rsidTr="00AD4193">
              <w:trPr>
                <w:trHeight w:val="1408"/>
              </w:trPr>
              <w:tc>
                <w:tcPr>
                  <w:tcW w:w="3767" w:type="dxa"/>
                  <w:tcBorders>
                    <w:top w:val="nil"/>
                    <w:left w:val="nil"/>
                    <w:bottom w:val="nil"/>
                  </w:tcBorders>
                  <w:vAlign w:val="center"/>
                </w:tcPr>
                <w:p w14:paraId="0CEC03F0" w14:textId="1F7A0DE9" w:rsidR="005676D1" w:rsidRDefault="005676D1" w:rsidP="005676D1">
                  <w:pPr>
                    <w:pStyle w:val="Footer"/>
                    <w:jc w:val="center"/>
                  </w:pPr>
                  <w:r>
                    <w:rPr>
                      <w:noProof/>
                    </w:rPr>
                    <w:drawing>
                      <wp:inline distT="0" distB="0" distL="0" distR="0" wp14:anchorId="28745CBE" wp14:editId="1F311B02">
                        <wp:extent cx="2147822" cy="472440"/>
                        <wp:effectExtent l="0" t="0" r="5080" b="3810"/>
                        <wp:docPr id="318683059" name="Picture 318683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92255" name="Graphic 3259225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67383" cy="476743"/>
                                </a:xfrm>
                                <a:prstGeom prst="rect">
                                  <a:avLst/>
                                </a:prstGeom>
                              </pic:spPr>
                            </pic:pic>
                          </a:graphicData>
                        </a:graphic>
                      </wp:inline>
                    </w:drawing>
                  </w:r>
                </w:p>
              </w:tc>
              <w:tc>
                <w:tcPr>
                  <w:tcW w:w="3135" w:type="dxa"/>
                  <w:tcBorders>
                    <w:top w:val="nil"/>
                    <w:bottom w:val="nil"/>
                  </w:tcBorders>
                  <w:vAlign w:val="center"/>
                </w:tcPr>
                <w:p w14:paraId="07A74E5C" w14:textId="5F0C66F7" w:rsidR="005676D1" w:rsidRDefault="002711D2">
                  <w:pPr>
                    <w:pStyle w:val="Footer"/>
                    <w:jc w:val="center"/>
                  </w:pPr>
                  <w:r>
                    <w:t>UK SPF</w:t>
                  </w:r>
                  <w:r w:rsidR="007364A5">
                    <w:t xml:space="preserve"> Guide Lines</w:t>
                  </w:r>
                </w:p>
                <w:p w14:paraId="3F2DB9ED" w14:textId="3E49380A" w:rsidR="007364A5" w:rsidRDefault="007364A5">
                  <w:pPr>
                    <w:pStyle w:val="Footer"/>
                    <w:jc w:val="center"/>
                  </w:pPr>
                  <w:r w:rsidRPr="00BB3071">
                    <w:t>Version</w:t>
                  </w:r>
                  <w:r>
                    <w:t xml:space="preserve"> .</w:t>
                  </w:r>
                  <w:r w:rsidR="006B1BDC">
                    <w:t>1</w:t>
                  </w:r>
                </w:p>
                <w:p w14:paraId="6F39D094" w14:textId="7D685E79" w:rsidR="00BB3071" w:rsidRDefault="00BB3071">
                  <w:pPr>
                    <w:pStyle w:val="Footer"/>
                    <w:jc w:val="center"/>
                  </w:pPr>
                  <w:r>
                    <w:t xml:space="preserve">Issued: </w:t>
                  </w:r>
                  <w:r w:rsidR="006B1BDC">
                    <w:t>April 25</w:t>
                  </w:r>
                </w:p>
                <w:p w14:paraId="555FB4C6" w14:textId="1F9345CA" w:rsidR="005676D1" w:rsidRDefault="005676D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sidR="00C87E00">
                    <w:t>16</w:t>
                  </w:r>
                </w:p>
              </w:tc>
              <w:tc>
                <w:tcPr>
                  <w:tcW w:w="3730" w:type="dxa"/>
                  <w:tcBorders>
                    <w:top w:val="nil"/>
                    <w:bottom w:val="nil"/>
                    <w:right w:val="nil"/>
                  </w:tcBorders>
                  <w:vAlign w:val="center"/>
                </w:tcPr>
                <w:p w14:paraId="53A6FEAC" w14:textId="44383F8C" w:rsidR="005676D1" w:rsidRDefault="003B43FC">
                  <w:pPr>
                    <w:pStyle w:val="Footer"/>
                    <w:jc w:val="center"/>
                  </w:pPr>
                  <w:r>
                    <w:rPr>
                      <w:noProof/>
                    </w:rPr>
                    <w:drawing>
                      <wp:inline distT="0" distB="0" distL="0" distR="0" wp14:anchorId="3CEAB573" wp14:editId="13253C64">
                        <wp:extent cx="2022066" cy="365143"/>
                        <wp:effectExtent l="0" t="0" r="0" b="0"/>
                        <wp:docPr id="285105956" name="Picture 285105956"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05956" name="Picture 1" descr="A black text on a white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052192" cy="370583"/>
                                </a:xfrm>
                                <a:prstGeom prst="rect">
                                  <a:avLst/>
                                </a:prstGeom>
                              </pic:spPr>
                            </pic:pic>
                          </a:graphicData>
                        </a:graphic>
                      </wp:inline>
                    </w:drawing>
                  </w:r>
                </w:p>
              </w:tc>
            </w:tr>
          </w:tbl>
          <w:p w14:paraId="6E8A201E" w14:textId="3E26D191" w:rsidR="005676D1" w:rsidRDefault="00331C74">
            <w:pPr>
              <w:pStyle w:val="Footer"/>
              <w:jc w:val="center"/>
            </w:pPr>
          </w:p>
        </w:sdtContent>
      </w:sdt>
    </w:sdtContent>
  </w:sdt>
  <w:p w14:paraId="5EA11FFB" w14:textId="77777777" w:rsidR="004F4B5A" w:rsidRDefault="004F4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DACEC" w14:textId="77777777" w:rsidR="00916A4D" w:rsidRDefault="00916A4D" w:rsidP="00A400E5">
      <w:r>
        <w:separator/>
      </w:r>
    </w:p>
  </w:footnote>
  <w:footnote w:type="continuationSeparator" w:id="0">
    <w:p w14:paraId="6F62CDA3" w14:textId="77777777" w:rsidR="00916A4D" w:rsidRDefault="00916A4D" w:rsidP="00A400E5">
      <w:r>
        <w:continuationSeparator/>
      </w:r>
    </w:p>
  </w:footnote>
  <w:footnote w:type="continuationNotice" w:id="1">
    <w:p w14:paraId="5CB8C0AC" w14:textId="77777777" w:rsidR="00916A4D" w:rsidRDefault="00916A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9F42" w14:textId="42A95FAE" w:rsidR="002942EE" w:rsidRPr="00DC1751" w:rsidRDefault="00064713" w:rsidP="00322B80">
    <w:pPr>
      <w:pStyle w:val="Primarypageheading"/>
      <w:rPr>
        <w:rFonts w:ascii="Calibri" w:hAnsi="Calibri" w:cs="Calibri"/>
        <w:color w:val="198897"/>
        <w:sz w:val="28"/>
        <w:szCs w:val="28"/>
      </w:rPr>
    </w:pPr>
    <w:r>
      <w:rPr>
        <w:rFonts w:ascii="Calibri" w:hAnsi="Calibri" w:cs="Calibri"/>
        <w:noProof/>
        <w:sz w:val="28"/>
        <w:szCs w:val="28"/>
      </w:rPr>
      <w:drawing>
        <wp:anchor distT="0" distB="0" distL="114300" distR="114300" simplePos="0" relativeHeight="251658242" behindDoc="0" locked="0" layoutInCell="1" allowOverlap="1" wp14:anchorId="1792B014" wp14:editId="3B0093A9">
          <wp:simplePos x="0" y="0"/>
          <wp:positionH relativeFrom="column">
            <wp:posOffset>4409342</wp:posOffset>
          </wp:positionH>
          <wp:positionV relativeFrom="paragraph">
            <wp:posOffset>6985</wp:posOffset>
          </wp:positionV>
          <wp:extent cx="1331058" cy="757555"/>
          <wp:effectExtent l="0" t="0" r="2540" b="4445"/>
          <wp:wrapNone/>
          <wp:docPr id="1199993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703" cy="758491"/>
                  </a:xfrm>
                  <a:prstGeom prst="rect">
                    <a:avLst/>
                  </a:prstGeom>
                  <a:noFill/>
                </pic:spPr>
              </pic:pic>
            </a:graphicData>
          </a:graphic>
          <wp14:sizeRelH relativeFrom="margin">
            <wp14:pctWidth>0</wp14:pctWidth>
          </wp14:sizeRelH>
          <wp14:sizeRelV relativeFrom="margin">
            <wp14:pctHeight>0</wp14:pctHeight>
          </wp14:sizeRelV>
        </wp:anchor>
      </w:drawing>
    </w:r>
    <w:r w:rsidR="003B43FC">
      <w:rPr>
        <w:noProof/>
      </w:rPr>
      <w:drawing>
        <wp:anchor distT="0" distB="0" distL="114300" distR="114300" simplePos="0" relativeHeight="251658241" behindDoc="0" locked="0" layoutInCell="1" allowOverlap="1" wp14:anchorId="5D7188A6" wp14:editId="3AA95922">
          <wp:simplePos x="0" y="0"/>
          <wp:positionH relativeFrom="column">
            <wp:posOffset>5771515</wp:posOffset>
          </wp:positionH>
          <wp:positionV relativeFrom="paragraph">
            <wp:posOffset>-81608</wp:posOffset>
          </wp:positionV>
          <wp:extent cx="525780" cy="781050"/>
          <wp:effectExtent l="0" t="0" r="7620" b="0"/>
          <wp:wrapNone/>
          <wp:docPr id="544927732" name="Picture 544927732" descr="A logo with a circle and a d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70624" name="Picture 990570624" descr="A logo with a circle and a do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25780" cy="781050"/>
                  </a:xfrm>
                  <a:prstGeom prst="rect">
                    <a:avLst/>
                  </a:prstGeom>
                </pic:spPr>
              </pic:pic>
            </a:graphicData>
          </a:graphic>
        </wp:anchor>
      </w:drawing>
    </w:r>
    <w:r w:rsidR="00E20D62">
      <w:rPr>
        <w:rFonts w:ascii="Calibri" w:hAnsi="Calibri" w:cs="Calibri"/>
        <w:color w:val="198897"/>
        <w:sz w:val="28"/>
        <w:szCs w:val="28"/>
      </w:rPr>
      <w:t>UK SPF</w:t>
    </w:r>
    <w:r w:rsidR="00D63EBE" w:rsidRPr="00DC1751">
      <w:rPr>
        <w:rFonts w:ascii="Calibri" w:hAnsi="Calibri" w:cs="Calibri"/>
        <w:color w:val="198897"/>
        <w:sz w:val="28"/>
        <w:szCs w:val="28"/>
      </w:rPr>
      <w:t xml:space="preserve"> Grant</w:t>
    </w:r>
    <w:r w:rsidR="002942EE" w:rsidRPr="00DC1751">
      <w:rPr>
        <w:rFonts w:ascii="Calibri" w:hAnsi="Calibri" w:cs="Calibri"/>
        <w:color w:val="198897"/>
        <w:sz w:val="28"/>
        <w:szCs w:val="28"/>
      </w:rPr>
      <w:t xml:space="preserve"> Fund</w:t>
    </w:r>
  </w:p>
  <w:p w14:paraId="315F4F5D" w14:textId="365A5631" w:rsidR="002942EE" w:rsidRPr="00DC1751" w:rsidRDefault="002942EE" w:rsidP="00322B80">
    <w:pPr>
      <w:pStyle w:val="Supportingpageheading"/>
      <w:rPr>
        <w:rFonts w:ascii="Calibri" w:hAnsi="Calibri" w:cs="Calibri"/>
        <w:sz w:val="28"/>
        <w:szCs w:val="28"/>
      </w:rPr>
    </w:pPr>
    <w:r w:rsidRPr="00DC1751">
      <w:rPr>
        <w:rFonts w:ascii="Calibri" w:hAnsi="Calibri" w:cs="Calibri"/>
        <w:noProof/>
        <w:color w:val="198897"/>
        <w:sz w:val="28"/>
        <w:szCs w:val="28"/>
        <w:lang w:eastAsia="en-GB"/>
      </w:rPr>
      <mc:AlternateContent>
        <mc:Choice Requires="wps">
          <w:drawing>
            <wp:anchor distT="0" distB="0" distL="114300" distR="114300" simplePos="0" relativeHeight="251658240" behindDoc="0" locked="0" layoutInCell="1" allowOverlap="1" wp14:anchorId="57F3AD4C" wp14:editId="6C241736">
              <wp:simplePos x="0" y="0"/>
              <wp:positionH relativeFrom="page">
                <wp:posOffset>536575</wp:posOffset>
              </wp:positionH>
              <wp:positionV relativeFrom="page">
                <wp:posOffset>1271270</wp:posOffset>
              </wp:positionV>
              <wp:extent cx="64836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483600" cy="0"/>
                      </a:xfrm>
                      <a:prstGeom prst="line">
                        <a:avLst/>
                      </a:prstGeom>
                      <a:ln w="6350">
                        <a:solidFill>
                          <a:srgbClr val="1988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7E38DDB" id="Straight Connector 6"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25pt,100.1pt" to="552.75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" strokecolor="#198897" strokeweight=".5pt">
              <w10:wrap anchorx="page" anchory="page"/>
            </v:line>
          </w:pict>
        </mc:Fallback>
      </mc:AlternateContent>
    </w:r>
    <w:r w:rsidRPr="00DC1751">
      <w:rPr>
        <w:rFonts w:ascii="Calibri" w:hAnsi="Calibri" w:cs="Calibri"/>
        <w:sz w:val="28"/>
        <w:szCs w:val="28"/>
      </w:rPr>
      <w:t>Guidelines</w:t>
    </w:r>
  </w:p>
  <w:p w14:paraId="307478F4" w14:textId="77777777" w:rsidR="002942EE" w:rsidRDefault="00294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20079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33830"/>
    <w:multiLevelType w:val="hybridMultilevel"/>
    <w:tmpl w:val="E4042F98"/>
    <w:lvl w:ilvl="0" w:tplc="08090001">
      <w:start w:val="1"/>
      <w:numFmt w:val="bullet"/>
      <w:lvlText w:val=""/>
      <w:lvlJc w:val="left"/>
      <w:pPr>
        <w:ind w:left="862" w:hanging="360"/>
      </w:pPr>
      <w:rPr>
        <w:rFonts w:ascii="Symbol" w:hAnsi="Symbol" w:hint="default"/>
      </w:rPr>
    </w:lvl>
    <w:lvl w:ilvl="1" w:tplc="FFFFFFFF">
      <w:start w:val="1"/>
      <w:numFmt w:val="bullet"/>
      <w:lvlText w:val="–"/>
      <w:lvlJc w:val="left"/>
      <w:pPr>
        <w:ind w:left="10440" w:hanging="360"/>
      </w:pPr>
      <w:rPr>
        <w:rFonts w:ascii="Arial" w:hAnsi="Arial" w:hint="default"/>
      </w:rPr>
    </w:lvl>
    <w:lvl w:ilvl="2" w:tplc="FFFFFFFF">
      <w:start w:val="1"/>
      <w:numFmt w:val="bullet"/>
      <w:lvlText w:val=""/>
      <w:lvlJc w:val="left"/>
      <w:pPr>
        <w:ind w:left="11160" w:hanging="360"/>
      </w:pPr>
      <w:rPr>
        <w:rFonts w:ascii="Wingdings" w:hAnsi="Wingdings" w:hint="default"/>
      </w:rPr>
    </w:lvl>
    <w:lvl w:ilvl="3" w:tplc="FFFFFFFF">
      <w:start w:val="1"/>
      <w:numFmt w:val="bullet"/>
      <w:lvlText w:val=""/>
      <w:lvlJc w:val="left"/>
      <w:pPr>
        <w:ind w:left="11880" w:hanging="360"/>
      </w:pPr>
      <w:rPr>
        <w:rFonts w:ascii="Symbol" w:hAnsi="Symbol" w:hint="default"/>
      </w:rPr>
    </w:lvl>
    <w:lvl w:ilvl="4" w:tplc="FFFFFFFF" w:tentative="1">
      <w:start w:val="1"/>
      <w:numFmt w:val="bullet"/>
      <w:lvlText w:val="o"/>
      <w:lvlJc w:val="left"/>
      <w:pPr>
        <w:ind w:left="12600" w:hanging="360"/>
      </w:pPr>
      <w:rPr>
        <w:rFonts w:ascii="Courier New" w:hAnsi="Courier New" w:cs="Courier New" w:hint="default"/>
      </w:rPr>
    </w:lvl>
    <w:lvl w:ilvl="5" w:tplc="FFFFFFFF" w:tentative="1">
      <w:start w:val="1"/>
      <w:numFmt w:val="bullet"/>
      <w:lvlText w:val=""/>
      <w:lvlJc w:val="left"/>
      <w:pPr>
        <w:ind w:left="13320" w:hanging="360"/>
      </w:pPr>
      <w:rPr>
        <w:rFonts w:ascii="Wingdings" w:hAnsi="Wingdings" w:hint="default"/>
      </w:rPr>
    </w:lvl>
    <w:lvl w:ilvl="6" w:tplc="FFFFFFFF" w:tentative="1">
      <w:start w:val="1"/>
      <w:numFmt w:val="bullet"/>
      <w:lvlText w:val=""/>
      <w:lvlJc w:val="left"/>
      <w:pPr>
        <w:ind w:left="14040" w:hanging="360"/>
      </w:pPr>
      <w:rPr>
        <w:rFonts w:ascii="Symbol" w:hAnsi="Symbol" w:hint="default"/>
      </w:rPr>
    </w:lvl>
    <w:lvl w:ilvl="7" w:tplc="FFFFFFFF" w:tentative="1">
      <w:start w:val="1"/>
      <w:numFmt w:val="bullet"/>
      <w:lvlText w:val="o"/>
      <w:lvlJc w:val="left"/>
      <w:pPr>
        <w:ind w:left="14760" w:hanging="360"/>
      </w:pPr>
      <w:rPr>
        <w:rFonts w:ascii="Courier New" w:hAnsi="Courier New" w:cs="Courier New" w:hint="default"/>
      </w:rPr>
    </w:lvl>
    <w:lvl w:ilvl="8" w:tplc="FFFFFFFF" w:tentative="1">
      <w:start w:val="1"/>
      <w:numFmt w:val="bullet"/>
      <w:lvlText w:val=""/>
      <w:lvlJc w:val="left"/>
      <w:pPr>
        <w:ind w:left="15480" w:hanging="360"/>
      </w:pPr>
      <w:rPr>
        <w:rFonts w:ascii="Wingdings" w:hAnsi="Wingdings" w:hint="default"/>
      </w:rPr>
    </w:lvl>
  </w:abstractNum>
  <w:abstractNum w:abstractNumId="2" w15:restartNumberingAfterBreak="0">
    <w:nsid w:val="02064C1E"/>
    <w:multiLevelType w:val="hybridMultilevel"/>
    <w:tmpl w:val="305CBF7A"/>
    <w:lvl w:ilvl="0" w:tplc="08090001">
      <w:start w:val="1"/>
      <w:numFmt w:val="bullet"/>
      <w:lvlText w:val=""/>
      <w:lvlJc w:val="left"/>
      <w:pPr>
        <w:ind w:left="502" w:hanging="360"/>
      </w:pPr>
      <w:rPr>
        <w:rFonts w:ascii="Symbol" w:hAnsi="Symbol" w:hint="default"/>
      </w:rPr>
    </w:lvl>
    <w:lvl w:ilvl="1" w:tplc="FFFFFFFF">
      <w:start w:val="1"/>
      <w:numFmt w:val="bullet"/>
      <w:lvlText w:val="–"/>
      <w:lvlJc w:val="left"/>
      <w:pPr>
        <w:ind w:left="10080" w:hanging="360"/>
      </w:pPr>
      <w:rPr>
        <w:rFonts w:ascii="Arial" w:hAnsi="Arial" w:hint="default"/>
      </w:rPr>
    </w:lvl>
    <w:lvl w:ilvl="2" w:tplc="FFFFFFFF">
      <w:start w:val="1"/>
      <w:numFmt w:val="bullet"/>
      <w:lvlText w:val=""/>
      <w:lvlJc w:val="left"/>
      <w:pPr>
        <w:ind w:left="10800" w:hanging="360"/>
      </w:pPr>
      <w:rPr>
        <w:rFonts w:ascii="Wingdings" w:hAnsi="Wingdings" w:hint="default"/>
      </w:rPr>
    </w:lvl>
    <w:lvl w:ilvl="3" w:tplc="FFFFFFFF">
      <w:start w:val="1"/>
      <w:numFmt w:val="bullet"/>
      <w:lvlText w:val=""/>
      <w:lvlJc w:val="left"/>
      <w:pPr>
        <w:ind w:left="11520" w:hanging="360"/>
      </w:pPr>
      <w:rPr>
        <w:rFonts w:ascii="Symbol" w:hAnsi="Symbol" w:hint="default"/>
      </w:rPr>
    </w:lvl>
    <w:lvl w:ilvl="4" w:tplc="FFFFFFFF" w:tentative="1">
      <w:start w:val="1"/>
      <w:numFmt w:val="bullet"/>
      <w:lvlText w:val="o"/>
      <w:lvlJc w:val="left"/>
      <w:pPr>
        <w:ind w:left="12240" w:hanging="360"/>
      </w:pPr>
      <w:rPr>
        <w:rFonts w:ascii="Courier New" w:hAnsi="Courier New" w:cs="Courier New" w:hint="default"/>
      </w:rPr>
    </w:lvl>
    <w:lvl w:ilvl="5" w:tplc="FFFFFFFF" w:tentative="1">
      <w:start w:val="1"/>
      <w:numFmt w:val="bullet"/>
      <w:lvlText w:val=""/>
      <w:lvlJc w:val="left"/>
      <w:pPr>
        <w:ind w:left="12960" w:hanging="360"/>
      </w:pPr>
      <w:rPr>
        <w:rFonts w:ascii="Wingdings" w:hAnsi="Wingdings" w:hint="default"/>
      </w:rPr>
    </w:lvl>
    <w:lvl w:ilvl="6" w:tplc="FFFFFFFF" w:tentative="1">
      <w:start w:val="1"/>
      <w:numFmt w:val="bullet"/>
      <w:lvlText w:val=""/>
      <w:lvlJc w:val="left"/>
      <w:pPr>
        <w:ind w:left="13680" w:hanging="360"/>
      </w:pPr>
      <w:rPr>
        <w:rFonts w:ascii="Symbol" w:hAnsi="Symbol" w:hint="default"/>
      </w:rPr>
    </w:lvl>
    <w:lvl w:ilvl="7" w:tplc="FFFFFFFF" w:tentative="1">
      <w:start w:val="1"/>
      <w:numFmt w:val="bullet"/>
      <w:lvlText w:val="o"/>
      <w:lvlJc w:val="left"/>
      <w:pPr>
        <w:ind w:left="14400" w:hanging="360"/>
      </w:pPr>
      <w:rPr>
        <w:rFonts w:ascii="Courier New" w:hAnsi="Courier New" w:cs="Courier New" w:hint="default"/>
      </w:rPr>
    </w:lvl>
    <w:lvl w:ilvl="8" w:tplc="FFFFFFFF" w:tentative="1">
      <w:start w:val="1"/>
      <w:numFmt w:val="bullet"/>
      <w:lvlText w:val=""/>
      <w:lvlJc w:val="left"/>
      <w:pPr>
        <w:ind w:left="15120" w:hanging="360"/>
      </w:pPr>
      <w:rPr>
        <w:rFonts w:ascii="Wingdings" w:hAnsi="Wingdings" w:hint="default"/>
      </w:rPr>
    </w:lvl>
  </w:abstractNum>
  <w:abstractNum w:abstractNumId="3" w15:restartNumberingAfterBreak="0">
    <w:nsid w:val="0E917571"/>
    <w:multiLevelType w:val="hybridMultilevel"/>
    <w:tmpl w:val="A6EC29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26E3F61"/>
    <w:multiLevelType w:val="hybridMultilevel"/>
    <w:tmpl w:val="9B3A843E"/>
    <w:lvl w:ilvl="0" w:tplc="08090001">
      <w:start w:val="1"/>
      <w:numFmt w:val="bullet"/>
      <w:lvlText w:val=""/>
      <w:lvlJc w:val="left"/>
      <w:pPr>
        <w:ind w:left="502" w:hanging="360"/>
      </w:pPr>
      <w:rPr>
        <w:rFonts w:ascii="Symbol" w:hAnsi="Symbol" w:hint="default"/>
      </w:rPr>
    </w:lvl>
    <w:lvl w:ilvl="1" w:tplc="FFFFFFFF">
      <w:start w:val="1"/>
      <w:numFmt w:val="bullet"/>
      <w:lvlText w:val="–"/>
      <w:lvlJc w:val="left"/>
      <w:pPr>
        <w:ind w:left="10080" w:hanging="360"/>
      </w:pPr>
      <w:rPr>
        <w:rFonts w:ascii="Arial" w:hAnsi="Arial" w:hint="default"/>
      </w:rPr>
    </w:lvl>
    <w:lvl w:ilvl="2" w:tplc="FFFFFFFF">
      <w:start w:val="1"/>
      <w:numFmt w:val="bullet"/>
      <w:lvlText w:val=""/>
      <w:lvlJc w:val="left"/>
      <w:pPr>
        <w:ind w:left="10800" w:hanging="360"/>
      </w:pPr>
      <w:rPr>
        <w:rFonts w:ascii="Wingdings" w:hAnsi="Wingdings" w:hint="default"/>
      </w:rPr>
    </w:lvl>
    <w:lvl w:ilvl="3" w:tplc="FFFFFFFF">
      <w:start w:val="1"/>
      <w:numFmt w:val="bullet"/>
      <w:lvlText w:val=""/>
      <w:lvlJc w:val="left"/>
      <w:pPr>
        <w:ind w:left="11520" w:hanging="360"/>
      </w:pPr>
      <w:rPr>
        <w:rFonts w:ascii="Symbol" w:hAnsi="Symbol" w:hint="default"/>
      </w:rPr>
    </w:lvl>
    <w:lvl w:ilvl="4" w:tplc="FFFFFFFF" w:tentative="1">
      <w:start w:val="1"/>
      <w:numFmt w:val="bullet"/>
      <w:lvlText w:val="o"/>
      <w:lvlJc w:val="left"/>
      <w:pPr>
        <w:ind w:left="12240" w:hanging="360"/>
      </w:pPr>
      <w:rPr>
        <w:rFonts w:ascii="Courier New" w:hAnsi="Courier New" w:cs="Courier New" w:hint="default"/>
      </w:rPr>
    </w:lvl>
    <w:lvl w:ilvl="5" w:tplc="FFFFFFFF" w:tentative="1">
      <w:start w:val="1"/>
      <w:numFmt w:val="bullet"/>
      <w:lvlText w:val=""/>
      <w:lvlJc w:val="left"/>
      <w:pPr>
        <w:ind w:left="12960" w:hanging="360"/>
      </w:pPr>
      <w:rPr>
        <w:rFonts w:ascii="Wingdings" w:hAnsi="Wingdings" w:hint="default"/>
      </w:rPr>
    </w:lvl>
    <w:lvl w:ilvl="6" w:tplc="FFFFFFFF" w:tentative="1">
      <w:start w:val="1"/>
      <w:numFmt w:val="bullet"/>
      <w:lvlText w:val=""/>
      <w:lvlJc w:val="left"/>
      <w:pPr>
        <w:ind w:left="13680" w:hanging="360"/>
      </w:pPr>
      <w:rPr>
        <w:rFonts w:ascii="Symbol" w:hAnsi="Symbol" w:hint="default"/>
      </w:rPr>
    </w:lvl>
    <w:lvl w:ilvl="7" w:tplc="FFFFFFFF" w:tentative="1">
      <w:start w:val="1"/>
      <w:numFmt w:val="bullet"/>
      <w:lvlText w:val="o"/>
      <w:lvlJc w:val="left"/>
      <w:pPr>
        <w:ind w:left="14400" w:hanging="360"/>
      </w:pPr>
      <w:rPr>
        <w:rFonts w:ascii="Courier New" w:hAnsi="Courier New" w:cs="Courier New" w:hint="default"/>
      </w:rPr>
    </w:lvl>
    <w:lvl w:ilvl="8" w:tplc="FFFFFFFF" w:tentative="1">
      <w:start w:val="1"/>
      <w:numFmt w:val="bullet"/>
      <w:lvlText w:val=""/>
      <w:lvlJc w:val="left"/>
      <w:pPr>
        <w:ind w:left="15120" w:hanging="360"/>
      </w:pPr>
      <w:rPr>
        <w:rFonts w:ascii="Wingdings" w:hAnsi="Wingdings" w:hint="default"/>
      </w:rPr>
    </w:lvl>
  </w:abstractNum>
  <w:abstractNum w:abstractNumId="5" w15:restartNumberingAfterBreak="0">
    <w:nsid w:val="134E5B58"/>
    <w:multiLevelType w:val="hybridMultilevel"/>
    <w:tmpl w:val="1B5C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02463"/>
    <w:multiLevelType w:val="hybridMultilevel"/>
    <w:tmpl w:val="2A16FD2E"/>
    <w:lvl w:ilvl="0" w:tplc="0809000F">
      <w:start w:val="1"/>
      <w:numFmt w:val="decimal"/>
      <w:lvlText w:val="%1."/>
      <w:lvlJc w:val="left"/>
      <w:pPr>
        <w:ind w:left="720" w:hanging="360"/>
      </w:pPr>
      <w:rPr>
        <w:rFonts w:hint="default"/>
      </w:rPr>
    </w:lvl>
    <w:lvl w:ilvl="1" w:tplc="7FA8EE38">
      <w:start w:val="1"/>
      <w:numFmt w:val="bullet"/>
      <w:lvlText w:val="–"/>
      <w:lvlJc w:val="left"/>
      <w:pPr>
        <w:ind w:left="1440" w:hanging="360"/>
      </w:pPr>
      <w:rPr>
        <w:rFonts w:ascii="Arial" w:hAnsi="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D4AE9"/>
    <w:multiLevelType w:val="hybridMultilevel"/>
    <w:tmpl w:val="C9101D6E"/>
    <w:lvl w:ilvl="0" w:tplc="08090001">
      <w:start w:val="1"/>
      <w:numFmt w:val="bullet"/>
      <w:lvlText w:val=""/>
      <w:lvlJc w:val="left"/>
      <w:pPr>
        <w:ind w:left="502" w:hanging="360"/>
      </w:pPr>
      <w:rPr>
        <w:rFonts w:ascii="Symbol" w:hAnsi="Symbol" w:hint="default"/>
      </w:rPr>
    </w:lvl>
    <w:lvl w:ilvl="1" w:tplc="FFFFFFFF">
      <w:start w:val="1"/>
      <w:numFmt w:val="bullet"/>
      <w:lvlText w:val="–"/>
      <w:lvlJc w:val="left"/>
      <w:pPr>
        <w:ind w:left="10080" w:hanging="360"/>
      </w:pPr>
      <w:rPr>
        <w:rFonts w:ascii="Arial" w:hAnsi="Arial" w:hint="default"/>
      </w:rPr>
    </w:lvl>
    <w:lvl w:ilvl="2" w:tplc="FFFFFFFF">
      <w:start w:val="1"/>
      <w:numFmt w:val="bullet"/>
      <w:lvlText w:val=""/>
      <w:lvlJc w:val="left"/>
      <w:pPr>
        <w:ind w:left="10800" w:hanging="360"/>
      </w:pPr>
      <w:rPr>
        <w:rFonts w:ascii="Wingdings" w:hAnsi="Wingdings" w:hint="default"/>
      </w:rPr>
    </w:lvl>
    <w:lvl w:ilvl="3" w:tplc="FFFFFFFF">
      <w:start w:val="1"/>
      <w:numFmt w:val="bullet"/>
      <w:lvlText w:val=""/>
      <w:lvlJc w:val="left"/>
      <w:pPr>
        <w:ind w:left="11520" w:hanging="360"/>
      </w:pPr>
      <w:rPr>
        <w:rFonts w:ascii="Symbol" w:hAnsi="Symbol" w:hint="default"/>
      </w:rPr>
    </w:lvl>
    <w:lvl w:ilvl="4" w:tplc="FFFFFFFF" w:tentative="1">
      <w:start w:val="1"/>
      <w:numFmt w:val="bullet"/>
      <w:lvlText w:val="o"/>
      <w:lvlJc w:val="left"/>
      <w:pPr>
        <w:ind w:left="12240" w:hanging="360"/>
      </w:pPr>
      <w:rPr>
        <w:rFonts w:ascii="Courier New" w:hAnsi="Courier New" w:cs="Courier New" w:hint="default"/>
      </w:rPr>
    </w:lvl>
    <w:lvl w:ilvl="5" w:tplc="FFFFFFFF" w:tentative="1">
      <w:start w:val="1"/>
      <w:numFmt w:val="bullet"/>
      <w:lvlText w:val=""/>
      <w:lvlJc w:val="left"/>
      <w:pPr>
        <w:ind w:left="12960" w:hanging="360"/>
      </w:pPr>
      <w:rPr>
        <w:rFonts w:ascii="Wingdings" w:hAnsi="Wingdings" w:hint="default"/>
      </w:rPr>
    </w:lvl>
    <w:lvl w:ilvl="6" w:tplc="FFFFFFFF" w:tentative="1">
      <w:start w:val="1"/>
      <w:numFmt w:val="bullet"/>
      <w:lvlText w:val=""/>
      <w:lvlJc w:val="left"/>
      <w:pPr>
        <w:ind w:left="13680" w:hanging="360"/>
      </w:pPr>
      <w:rPr>
        <w:rFonts w:ascii="Symbol" w:hAnsi="Symbol" w:hint="default"/>
      </w:rPr>
    </w:lvl>
    <w:lvl w:ilvl="7" w:tplc="FFFFFFFF" w:tentative="1">
      <w:start w:val="1"/>
      <w:numFmt w:val="bullet"/>
      <w:lvlText w:val="o"/>
      <w:lvlJc w:val="left"/>
      <w:pPr>
        <w:ind w:left="14400" w:hanging="360"/>
      </w:pPr>
      <w:rPr>
        <w:rFonts w:ascii="Courier New" w:hAnsi="Courier New" w:cs="Courier New" w:hint="default"/>
      </w:rPr>
    </w:lvl>
    <w:lvl w:ilvl="8" w:tplc="FFFFFFFF" w:tentative="1">
      <w:start w:val="1"/>
      <w:numFmt w:val="bullet"/>
      <w:lvlText w:val=""/>
      <w:lvlJc w:val="left"/>
      <w:pPr>
        <w:ind w:left="15120" w:hanging="360"/>
      </w:pPr>
      <w:rPr>
        <w:rFonts w:ascii="Wingdings" w:hAnsi="Wingdings" w:hint="default"/>
      </w:rPr>
    </w:lvl>
  </w:abstractNum>
  <w:abstractNum w:abstractNumId="8" w15:restartNumberingAfterBreak="0">
    <w:nsid w:val="216D0F33"/>
    <w:multiLevelType w:val="hybridMultilevel"/>
    <w:tmpl w:val="BC849986"/>
    <w:lvl w:ilvl="0" w:tplc="08090001">
      <w:start w:val="1"/>
      <w:numFmt w:val="bullet"/>
      <w:lvlText w:val=""/>
      <w:lvlJc w:val="left"/>
      <w:pPr>
        <w:ind w:left="502" w:hanging="360"/>
      </w:pPr>
      <w:rPr>
        <w:rFonts w:ascii="Symbol" w:hAnsi="Symbol" w:hint="default"/>
      </w:rPr>
    </w:lvl>
    <w:lvl w:ilvl="1" w:tplc="FFFFFFFF">
      <w:start w:val="1"/>
      <w:numFmt w:val="bullet"/>
      <w:lvlText w:val="–"/>
      <w:lvlJc w:val="left"/>
      <w:pPr>
        <w:ind w:left="10080" w:hanging="360"/>
      </w:pPr>
      <w:rPr>
        <w:rFonts w:ascii="Arial" w:hAnsi="Arial" w:hint="default"/>
      </w:rPr>
    </w:lvl>
    <w:lvl w:ilvl="2" w:tplc="FFFFFFFF">
      <w:start w:val="1"/>
      <w:numFmt w:val="bullet"/>
      <w:lvlText w:val=""/>
      <w:lvlJc w:val="left"/>
      <w:pPr>
        <w:ind w:left="10800" w:hanging="360"/>
      </w:pPr>
      <w:rPr>
        <w:rFonts w:ascii="Wingdings" w:hAnsi="Wingdings" w:hint="default"/>
      </w:rPr>
    </w:lvl>
    <w:lvl w:ilvl="3" w:tplc="FFFFFFFF">
      <w:start w:val="1"/>
      <w:numFmt w:val="bullet"/>
      <w:lvlText w:val=""/>
      <w:lvlJc w:val="left"/>
      <w:pPr>
        <w:ind w:left="11520" w:hanging="360"/>
      </w:pPr>
      <w:rPr>
        <w:rFonts w:ascii="Symbol" w:hAnsi="Symbol" w:hint="default"/>
      </w:rPr>
    </w:lvl>
    <w:lvl w:ilvl="4" w:tplc="FFFFFFFF" w:tentative="1">
      <w:start w:val="1"/>
      <w:numFmt w:val="bullet"/>
      <w:lvlText w:val="o"/>
      <w:lvlJc w:val="left"/>
      <w:pPr>
        <w:ind w:left="12240" w:hanging="360"/>
      </w:pPr>
      <w:rPr>
        <w:rFonts w:ascii="Courier New" w:hAnsi="Courier New" w:cs="Courier New" w:hint="default"/>
      </w:rPr>
    </w:lvl>
    <w:lvl w:ilvl="5" w:tplc="FFFFFFFF" w:tentative="1">
      <w:start w:val="1"/>
      <w:numFmt w:val="bullet"/>
      <w:lvlText w:val=""/>
      <w:lvlJc w:val="left"/>
      <w:pPr>
        <w:ind w:left="12960" w:hanging="360"/>
      </w:pPr>
      <w:rPr>
        <w:rFonts w:ascii="Wingdings" w:hAnsi="Wingdings" w:hint="default"/>
      </w:rPr>
    </w:lvl>
    <w:lvl w:ilvl="6" w:tplc="FFFFFFFF" w:tentative="1">
      <w:start w:val="1"/>
      <w:numFmt w:val="bullet"/>
      <w:lvlText w:val=""/>
      <w:lvlJc w:val="left"/>
      <w:pPr>
        <w:ind w:left="13680" w:hanging="360"/>
      </w:pPr>
      <w:rPr>
        <w:rFonts w:ascii="Symbol" w:hAnsi="Symbol" w:hint="default"/>
      </w:rPr>
    </w:lvl>
    <w:lvl w:ilvl="7" w:tplc="FFFFFFFF" w:tentative="1">
      <w:start w:val="1"/>
      <w:numFmt w:val="bullet"/>
      <w:lvlText w:val="o"/>
      <w:lvlJc w:val="left"/>
      <w:pPr>
        <w:ind w:left="14400" w:hanging="360"/>
      </w:pPr>
      <w:rPr>
        <w:rFonts w:ascii="Courier New" w:hAnsi="Courier New" w:cs="Courier New" w:hint="default"/>
      </w:rPr>
    </w:lvl>
    <w:lvl w:ilvl="8" w:tplc="FFFFFFFF" w:tentative="1">
      <w:start w:val="1"/>
      <w:numFmt w:val="bullet"/>
      <w:lvlText w:val=""/>
      <w:lvlJc w:val="left"/>
      <w:pPr>
        <w:ind w:left="15120" w:hanging="360"/>
      </w:pPr>
      <w:rPr>
        <w:rFonts w:ascii="Wingdings" w:hAnsi="Wingdings" w:hint="default"/>
      </w:rPr>
    </w:lvl>
  </w:abstractNum>
  <w:abstractNum w:abstractNumId="9" w15:restartNumberingAfterBreak="0">
    <w:nsid w:val="2C3B1BD4"/>
    <w:multiLevelType w:val="hybridMultilevel"/>
    <w:tmpl w:val="40625352"/>
    <w:lvl w:ilvl="0" w:tplc="CA80415A">
      <w:start w:val="1"/>
      <w:numFmt w:val="bullet"/>
      <w:pStyle w:val="Bulletedtextlevel1"/>
      <w:lvlText w:val="–"/>
      <w:lvlJc w:val="left"/>
      <w:pPr>
        <w:ind w:left="502" w:hanging="360"/>
      </w:pPr>
      <w:rPr>
        <w:rFonts w:ascii="Arial" w:hAnsi="Arial" w:hint="default"/>
      </w:rPr>
    </w:lvl>
    <w:lvl w:ilvl="1" w:tplc="7FA8EE38">
      <w:start w:val="1"/>
      <w:numFmt w:val="bullet"/>
      <w:lvlText w:val="–"/>
      <w:lvlJc w:val="left"/>
      <w:pPr>
        <w:ind w:left="10080" w:hanging="360"/>
      </w:pPr>
      <w:rPr>
        <w:rFonts w:ascii="Arial" w:hAnsi="Arial" w:hint="default"/>
      </w:rPr>
    </w:lvl>
    <w:lvl w:ilvl="2" w:tplc="08090005">
      <w:start w:val="1"/>
      <w:numFmt w:val="bullet"/>
      <w:lvlText w:val=""/>
      <w:lvlJc w:val="left"/>
      <w:pPr>
        <w:ind w:left="10800" w:hanging="360"/>
      </w:pPr>
      <w:rPr>
        <w:rFonts w:ascii="Wingdings" w:hAnsi="Wingdings" w:hint="default"/>
      </w:rPr>
    </w:lvl>
    <w:lvl w:ilvl="3" w:tplc="0809000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10" w15:restartNumberingAfterBreak="0">
    <w:nsid w:val="3A6F0493"/>
    <w:multiLevelType w:val="hybridMultilevel"/>
    <w:tmpl w:val="FB0203D4"/>
    <w:lvl w:ilvl="0" w:tplc="08090001">
      <w:start w:val="1"/>
      <w:numFmt w:val="bullet"/>
      <w:lvlText w:val=""/>
      <w:lvlJc w:val="left"/>
      <w:pPr>
        <w:ind w:left="502" w:hanging="360"/>
      </w:pPr>
      <w:rPr>
        <w:rFonts w:ascii="Symbol" w:hAnsi="Symbol" w:hint="default"/>
      </w:rPr>
    </w:lvl>
    <w:lvl w:ilvl="1" w:tplc="FFFFFFFF">
      <w:start w:val="1"/>
      <w:numFmt w:val="bullet"/>
      <w:lvlText w:val="–"/>
      <w:lvlJc w:val="left"/>
      <w:pPr>
        <w:ind w:left="10080" w:hanging="360"/>
      </w:pPr>
      <w:rPr>
        <w:rFonts w:ascii="Arial" w:hAnsi="Arial" w:hint="default"/>
      </w:rPr>
    </w:lvl>
    <w:lvl w:ilvl="2" w:tplc="FFFFFFFF">
      <w:start w:val="1"/>
      <w:numFmt w:val="bullet"/>
      <w:lvlText w:val=""/>
      <w:lvlJc w:val="left"/>
      <w:pPr>
        <w:ind w:left="10800" w:hanging="360"/>
      </w:pPr>
      <w:rPr>
        <w:rFonts w:ascii="Wingdings" w:hAnsi="Wingdings" w:hint="default"/>
      </w:rPr>
    </w:lvl>
    <w:lvl w:ilvl="3" w:tplc="FFFFFFFF">
      <w:start w:val="1"/>
      <w:numFmt w:val="bullet"/>
      <w:lvlText w:val=""/>
      <w:lvlJc w:val="left"/>
      <w:pPr>
        <w:ind w:left="11520" w:hanging="360"/>
      </w:pPr>
      <w:rPr>
        <w:rFonts w:ascii="Symbol" w:hAnsi="Symbol" w:hint="default"/>
      </w:rPr>
    </w:lvl>
    <w:lvl w:ilvl="4" w:tplc="FFFFFFFF" w:tentative="1">
      <w:start w:val="1"/>
      <w:numFmt w:val="bullet"/>
      <w:lvlText w:val="o"/>
      <w:lvlJc w:val="left"/>
      <w:pPr>
        <w:ind w:left="12240" w:hanging="360"/>
      </w:pPr>
      <w:rPr>
        <w:rFonts w:ascii="Courier New" w:hAnsi="Courier New" w:cs="Courier New" w:hint="default"/>
      </w:rPr>
    </w:lvl>
    <w:lvl w:ilvl="5" w:tplc="FFFFFFFF" w:tentative="1">
      <w:start w:val="1"/>
      <w:numFmt w:val="bullet"/>
      <w:lvlText w:val=""/>
      <w:lvlJc w:val="left"/>
      <w:pPr>
        <w:ind w:left="12960" w:hanging="360"/>
      </w:pPr>
      <w:rPr>
        <w:rFonts w:ascii="Wingdings" w:hAnsi="Wingdings" w:hint="default"/>
      </w:rPr>
    </w:lvl>
    <w:lvl w:ilvl="6" w:tplc="FFFFFFFF" w:tentative="1">
      <w:start w:val="1"/>
      <w:numFmt w:val="bullet"/>
      <w:lvlText w:val=""/>
      <w:lvlJc w:val="left"/>
      <w:pPr>
        <w:ind w:left="13680" w:hanging="360"/>
      </w:pPr>
      <w:rPr>
        <w:rFonts w:ascii="Symbol" w:hAnsi="Symbol" w:hint="default"/>
      </w:rPr>
    </w:lvl>
    <w:lvl w:ilvl="7" w:tplc="FFFFFFFF" w:tentative="1">
      <w:start w:val="1"/>
      <w:numFmt w:val="bullet"/>
      <w:lvlText w:val="o"/>
      <w:lvlJc w:val="left"/>
      <w:pPr>
        <w:ind w:left="14400" w:hanging="360"/>
      </w:pPr>
      <w:rPr>
        <w:rFonts w:ascii="Courier New" w:hAnsi="Courier New" w:cs="Courier New" w:hint="default"/>
      </w:rPr>
    </w:lvl>
    <w:lvl w:ilvl="8" w:tplc="FFFFFFFF" w:tentative="1">
      <w:start w:val="1"/>
      <w:numFmt w:val="bullet"/>
      <w:lvlText w:val=""/>
      <w:lvlJc w:val="left"/>
      <w:pPr>
        <w:ind w:left="15120" w:hanging="360"/>
      </w:pPr>
      <w:rPr>
        <w:rFonts w:ascii="Wingdings" w:hAnsi="Wingdings" w:hint="default"/>
      </w:rPr>
    </w:lvl>
  </w:abstractNum>
  <w:abstractNum w:abstractNumId="11" w15:restartNumberingAfterBreak="0">
    <w:nsid w:val="41D8435D"/>
    <w:multiLevelType w:val="multilevel"/>
    <w:tmpl w:val="0809001D"/>
    <w:styleLink w:val="Style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A619B0"/>
    <w:multiLevelType w:val="hybridMultilevel"/>
    <w:tmpl w:val="6DDE6A4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48DE2E6F"/>
    <w:multiLevelType w:val="hybridMultilevel"/>
    <w:tmpl w:val="5F12BEB4"/>
    <w:lvl w:ilvl="0" w:tplc="08090001">
      <w:start w:val="1"/>
      <w:numFmt w:val="bullet"/>
      <w:lvlText w:val=""/>
      <w:lvlJc w:val="left"/>
      <w:pPr>
        <w:ind w:left="502" w:hanging="360"/>
      </w:pPr>
      <w:rPr>
        <w:rFonts w:ascii="Symbol" w:hAnsi="Symbol" w:hint="default"/>
      </w:rPr>
    </w:lvl>
    <w:lvl w:ilvl="1" w:tplc="FFFFFFFF">
      <w:start w:val="1"/>
      <w:numFmt w:val="bullet"/>
      <w:lvlText w:val="–"/>
      <w:lvlJc w:val="left"/>
      <w:pPr>
        <w:ind w:left="10080" w:hanging="360"/>
      </w:pPr>
      <w:rPr>
        <w:rFonts w:ascii="Arial" w:hAnsi="Arial" w:hint="default"/>
      </w:rPr>
    </w:lvl>
    <w:lvl w:ilvl="2" w:tplc="FFFFFFFF">
      <w:start w:val="1"/>
      <w:numFmt w:val="bullet"/>
      <w:lvlText w:val=""/>
      <w:lvlJc w:val="left"/>
      <w:pPr>
        <w:ind w:left="10800" w:hanging="360"/>
      </w:pPr>
      <w:rPr>
        <w:rFonts w:ascii="Wingdings" w:hAnsi="Wingdings" w:hint="default"/>
      </w:rPr>
    </w:lvl>
    <w:lvl w:ilvl="3" w:tplc="FFFFFFFF">
      <w:start w:val="1"/>
      <w:numFmt w:val="bullet"/>
      <w:lvlText w:val=""/>
      <w:lvlJc w:val="left"/>
      <w:pPr>
        <w:ind w:left="11520" w:hanging="360"/>
      </w:pPr>
      <w:rPr>
        <w:rFonts w:ascii="Symbol" w:hAnsi="Symbol" w:hint="default"/>
      </w:rPr>
    </w:lvl>
    <w:lvl w:ilvl="4" w:tplc="FFFFFFFF" w:tentative="1">
      <w:start w:val="1"/>
      <w:numFmt w:val="bullet"/>
      <w:lvlText w:val="o"/>
      <w:lvlJc w:val="left"/>
      <w:pPr>
        <w:ind w:left="12240" w:hanging="360"/>
      </w:pPr>
      <w:rPr>
        <w:rFonts w:ascii="Courier New" w:hAnsi="Courier New" w:cs="Courier New" w:hint="default"/>
      </w:rPr>
    </w:lvl>
    <w:lvl w:ilvl="5" w:tplc="FFFFFFFF" w:tentative="1">
      <w:start w:val="1"/>
      <w:numFmt w:val="bullet"/>
      <w:lvlText w:val=""/>
      <w:lvlJc w:val="left"/>
      <w:pPr>
        <w:ind w:left="12960" w:hanging="360"/>
      </w:pPr>
      <w:rPr>
        <w:rFonts w:ascii="Wingdings" w:hAnsi="Wingdings" w:hint="default"/>
      </w:rPr>
    </w:lvl>
    <w:lvl w:ilvl="6" w:tplc="FFFFFFFF" w:tentative="1">
      <w:start w:val="1"/>
      <w:numFmt w:val="bullet"/>
      <w:lvlText w:val=""/>
      <w:lvlJc w:val="left"/>
      <w:pPr>
        <w:ind w:left="13680" w:hanging="360"/>
      </w:pPr>
      <w:rPr>
        <w:rFonts w:ascii="Symbol" w:hAnsi="Symbol" w:hint="default"/>
      </w:rPr>
    </w:lvl>
    <w:lvl w:ilvl="7" w:tplc="FFFFFFFF" w:tentative="1">
      <w:start w:val="1"/>
      <w:numFmt w:val="bullet"/>
      <w:lvlText w:val="o"/>
      <w:lvlJc w:val="left"/>
      <w:pPr>
        <w:ind w:left="14400" w:hanging="360"/>
      </w:pPr>
      <w:rPr>
        <w:rFonts w:ascii="Courier New" w:hAnsi="Courier New" w:cs="Courier New" w:hint="default"/>
      </w:rPr>
    </w:lvl>
    <w:lvl w:ilvl="8" w:tplc="FFFFFFFF" w:tentative="1">
      <w:start w:val="1"/>
      <w:numFmt w:val="bullet"/>
      <w:lvlText w:val=""/>
      <w:lvlJc w:val="left"/>
      <w:pPr>
        <w:ind w:left="15120" w:hanging="360"/>
      </w:pPr>
      <w:rPr>
        <w:rFonts w:ascii="Wingdings" w:hAnsi="Wingdings" w:hint="default"/>
      </w:rPr>
    </w:lvl>
  </w:abstractNum>
  <w:abstractNum w:abstractNumId="14" w15:restartNumberingAfterBreak="0">
    <w:nsid w:val="554C0D23"/>
    <w:multiLevelType w:val="hybridMultilevel"/>
    <w:tmpl w:val="5D526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54471B"/>
    <w:multiLevelType w:val="hybridMultilevel"/>
    <w:tmpl w:val="5A6C4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456578"/>
    <w:multiLevelType w:val="hybridMultilevel"/>
    <w:tmpl w:val="81DC64E2"/>
    <w:lvl w:ilvl="0" w:tplc="08090001">
      <w:start w:val="1"/>
      <w:numFmt w:val="bullet"/>
      <w:lvlText w:val=""/>
      <w:lvlJc w:val="left"/>
      <w:pPr>
        <w:ind w:left="502" w:hanging="360"/>
      </w:pPr>
      <w:rPr>
        <w:rFonts w:ascii="Symbol" w:hAnsi="Symbol" w:hint="default"/>
      </w:rPr>
    </w:lvl>
    <w:lvl w:ilvl="1" w:tplc="FFFFFFFF">
      <w:start w:val="1"/>
      <w:numFmt w:val="bullet"/>
      <w:lvlText w:val="–"/>
      <w:lvlJc w:val="left"/>
      <w:pPr>
        <w:ind w:left="10080" w:hanging="360"/>
      </w:pPr>
      <w:rPr>
        <w:rFonts w:ascii="Arial" w:hAnsi="Arial" w:hint="default"/>
      </w:rPr>
    </w:lvl>
    <w:lvl w:ilvl="2" w:tplc="FFFFFFFF">
      <w:start w:val="1"/>
      <w:numFmt w:val="bullet"/>
      <w:lvlText w:val=""/>
      <w:lvlJc w:val="left"/>
      <w:pPr>
        <w:ind w:left="10800" w:hanging="360"/>
      </w:pPr>
      <w:rPr>
        <w:rFonts w:ascii="Wingdings" w:hAnsi="Wingdings" w:hint="default"/>
      </w:rPr>
    </w:lvl>
    <w:lvl w:ilvl="3" w:tplc="FFFFFFFF">
      <w:start w:val="1"/>
      <w:numFmt w:val="bullet"/>
      <w:lvlText w:val=""/>
      <w:lvlJc w:val="left"/>
      <w:pPr>
        <w:ind w:left="11520" w:hanging="360"/>
      </w:pPr>
      <w:rPr>
        <w:rFonts w:ascii="Symbol" w:hAnsi="Symbol" w:hint="default"/>
      </w:rPr>
    </w:lvl>
    <w:lvl w:ilvl="4" w:tplc="FFFFFFFF" w:tentative="1">
      <w:start w:val="1"/>
      <w:numFmt w:val="bullet"/>
      <w:lvlText w:val="o"/>
      <w:lvlJc w:val="left"/>
      <w:pPr>
        <w:ind w:left="12240" w:hanging="360"/>
      </w:pPr>
      <w:rPr>
        <w:rFonts w:ascii="Courier New" w:hAnsi="Courier New" w:cs="Courier New" w:hint="default"/>
      </w:rPr>
    </w:lvl>
    <w:lvl w:ilvl="5" w:tplc="FFFFFFFF" w:tentative="1">
      <w:start w:val="1"/>
      <w:numFmt w:val="bullet"/>
      <w:lvlText w:val=""/>
      <w:lvlJc w:val="left"/>
      <w:pPr>
        <w:ind w:left="12960" w:hanging="360"/>
      </w:pPr>
      <w:rPr>
        <w:rFonts w:ascii="Wingdings" w:hAnsi="Wingdings" w:hint="default"/>
      </w:rPr>
    </w:lvl>
    <w:lvl w:ilvl="6" w:tplc="FFFFFFFF" w:tentative="1">
      <w:start w:val="1"/>
      <w:numFmt w:val="bullet"/>
      <w:lvlText w:val=""/>
      <w:lvlJc w:val="left"/>
      <w:pPr>
        <w:ind w:left="13680" w:hanging="360"/>
      </w:pPr>
      <w:rPr>
        <w:rFonts w:ascii="Symbol" w:hAnsi="Symbol" w:hint="default"/>
      </w:rPr>
    </w:lvl>
    <w:lvl w:ilvl="7" w:tplc="FFFFFFFF" w:tentative="1">
      <w:start w:val="1"/>
      <w:numFmt w:val="bullet"/>
      <w:lvlText w:val="o"/>
      <w:lvlJc w:val="left"/>
      <w:pPr>
        <w:ind w:left="14400" w:hanging="360"/>
      </w:pPr>
      <w:rPr>
        <w:rFonts w:ascii="Courier New" w:hAnsi="Courier New" w:cs="Courier New" w:hint="default"/>
      </w:rPr>
    </w:lvl>
    <w:lvl w:ilvl="8" w:tplc="FFFFFFFF" w:tentative="1">
      <w:start w:val="1"/>
      <w:numFmt w:val="bullet"/>
      <w:lvlText w:val=""/>
      <w:lvlJc w:val="left"/>
      <w:pPr>
        <w:ind w:left="15120" w:hanging="360"/>
      </w:pPr>
      <w:rPr>
        <w:rFonts w:ascii="Wingdings" w:hAnsi="Wingdings" w:hint="default"/>
      </w:rPr>
    </w:lvl>
  </w:abstractNum>
  <w:abstractNum w:abstractNumId="17" w15:restartNumberingAfterBreak="0">
    <w:nsid w:val="719F28D0"/>
    <w:multiLevelType w:val="hybridMultilevel"/>
    <w:tmpl w:val="7E0C2F12"/>
    <w:lvl w:ilvl="0" w:tplc="08090001">
      <w:start w:val="1"/>
      <w:numFmt w:val="bullet"/>
      <w:lvlText w:val=""/>
      <w:lvlJc w:val="left"/>
      <w:pPr>
        <w:ind w:left="502" w:hanging="360"/>
      </w:pPr>
      <w:rPr>
        <w:rFonts w:ascii="Symbol" w:hAnsi="Symbol" w:hint="default"/>
      </w:rPr>
    </w:lvl>
    <w:lvl w:ilvl="1" w:tplc="FFFFFFFF">
      <w:start w:val="1"/>
      <w:numFmt w:val="bullet"/>
      <w:lvlText w:val="–"/>
      <w:lvlJc w:val="left"/>
      <w:pPr>
        <w:ind w:left="10080" w:hanging="360"/>
      </w:pPr>
      <w:rPr>
        <w:rFonts w:ascii="Arial" w:hAnsi="Arial" w:hint="default"/>
      </w:rPr>
    </w:lvl>
    <w:lvl w:ilvl="2" w:tplc="FFFFFFFF">
      <w:start w:val="1"/>
      <w:numFmt w:val="bullet"/>
      <w:lvlText w:val=""/>
      <w:lvlJc w:val="left"/>
      <w:pPr>
        <w:ind w:left="10800" w:hanging="360"/>
      </w:pPr>
      <w:rPr>
        <w:rFonts w:ascii="Wingdings" w:hAnsi="Wingdings" w:hint="default"/>
      </w:rPr>
    </w:lvl>
    <w:lvl w:ilvl="3" w:tplc="FFFFFFFF">
      <w:start w:val="1"/>
      <w:numFmt w:val="bullet"/>
      <w:lvlText w:val=""/>
      <w:lvlJc w:val="left"/>
      <w:pPr>
        <w:ind w:left="11520" w:hanging="360"/>
      </w:pPr>
      <w:rPr>
        <w:rFonts w:ascii="Symbol" w:hAnsi="Symbol" w:hint="default"/>
      </w:rPr>
    </w:lvl>
    <w:lvl w:ilvl="4" w:tplc="FFFFFFFF" w:tentative="1">
      <w:start w:val="1"/>
      <w:numFmt w:val="bullet"/>
      <w:lvlText w:val="o"/>
      <w:lvlJc w:val="left"/>
      <w:pPr>
        <w:ind w:left="12240" w:hanging="360"/>
      </w:pPr>
      <w:rPr>
        <w:rFonts w:ascii="Courier New" w:hAnsi="Courier New" w:cs="Courier New" w:hint="default"/>
      </w:rPr>
    </w:lvl>
    <w:lvl w:ilvl="5" w:tplc="FFFFFFFF" w:tentative="1">
      <w:start w:val="1"/>
      <w:numFmt w:val="bullet"/>
      <w:lvlText w:val=""/>
      <w:lvlJc w:val="left"/>
      <w:pPr>
        <w:ind w:left="12960" w:hanging="360"/>
      </w:pPr>
      <w:rPr>
        <w:rFonts w:ascii="Wingdings" w:hAnsi="Wingdings" w:hint="default"/>
      </w:rPr>
    </w:lvl>
    <w:lvl w:ilvl="6" w:tplc="FFFFFFFF" w:tentative="1">
      <w:start w:val="1"/>
      <w:numFmt w:val="bullet"/>
      <w:lvlText w:val=""/>
      <w:lvlJc w:val="left"/>
      <w:pPr>
        <w:ind w:left="13680" w:hanging="360"/>
      </w:pPr>
      <w:rPr>
        <w:rFonts w:ascii="Symbol" w:hAnsi="Symbol" w:hint="default"/>
      </w:rPr>
    </w:lvl>
    <w:lvl w:ilvl="7" w:tplc="FFFFFFFF" w:tentative="1">
      <w:start w:val="1"/>
      <w:numFmt w:val="bullet"/>
      <w:lvlText w:val="o"/>
      <w:lvlJc w:val="left"/>
      <w:pPr>
        <w:ind w:left="14400" w:hanging="360"/>
      </w:pPr>
      <w:rPr>
        <w:rFonts w:ascii="Courier New" w:hAnsi="Courier New" w:cs="Courier New" w:hint="default"/>
      </w:rPr>
    </w:lvl>
    <w:lvl w:ilvl="8" w:tplc="FFFFFFFF" w:tentative="1">
      <w:start w:val="1"/>
      <w:numFmt w:val="bullet"/>
      <w:lvlText w:val=""/>
      <w:lvlJc w:val="left"/>
      <w:pPr>
        <w:ind w:left="15120" w:hanging="360"/>
      </w:pPr>
      <w:rPr>
        <w:rFonts w:ascii="Wingdings" w:hAnsi="Wingdings" w:hint="default"/>
      </w:rPr>
    </w:lvl>
  </w:abstractNum>
  <w:abstractNum w:abstractNumId="18" w15:restartNumberingAfterBreak="0">
    <w:nsid w:val="79627F8D"/>
    <w:multiLevelType w:val="hybridMultilevel"/>
    <w:tmpl w:val="160AD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B93C8B"/>
    <w:multiLevelType w:val="hybridMultilevel"/>
    <w:tmpl w:val="BD5E3D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DB42FD3"/>
    <w:multiLevelType w:val="hybridMultilevel"/>
    <w:tmpl w:val="00FC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518540">
    <w:abstractNumId w:val="9"/>
  </w:num>
  <w:num w:numId="2" w16cid:durableId="1269970760">
    <w:abstractNumId w:val="0"/>
  </w:num>
  <w:num w:numId="3" w16cid:durableId="473323">
    <w:abstractNumId w:val="11"/>
  </w:num>
  <w:num w:numId="4" w16cid:durableId="610547951">
    <w:abstractNumId w:val="6"/>
  </w:num>
  <w:num w:numId="5" w16cid:durableId="791481165">
    <w:abstractNumId w:val="4"/>
  </w:num>
  <w:num w:numId="6" w16cid:durableId="545802994">
    <w:abstractNumId w:val="10"/>
  </w:num>
  <w:num w:numId="7" w16cid:durableId="1897471879">
    <w:abstractNumId w:val="17"/>
  </w:num>
  <w:num w:numId="8" w16cid:durableId="1900356653">
    <w:abstractNumId w:val="2"/>
  </w:num>
  <w:num w:numId="9" w16cid:durableId="910117590">
    <w:abstractNumId w:val="12"/>
  </w:num>
  <w:num w:numId="10" w16cid:durableId="1102871983">
    <w:abstractNumId w:val="1"/>
  </w:num>
  <w:num w:numId="11" w16cid:durableId="179047079">
    <w:abstractNumId w:val="7"/>
  </w:num>
  <w:num w:numId="12" w16cid:durableId="1387334588">
    <w:abstractNumId w:val="8"/>
  </w:num>
  <w:num w:numId="13" w16cid:durableId="282230256">
    <w:abstractNumId w:val="13"/>
  </w:num>
  <w:num w:numId="14" w16cid:durableId="1818105298">
    <w:abstractNumId w:val="16"/>
  </w:num>
  <w:num w:numId="15" w16cid:durableId="1183203504">
    <w:abstractNumId w:val="3"/>
  </w:num>
  <w:num w:numId="16" w16cid:durableId="832988762">
    <w:abstractNumId w:val="3"/>
  </w:num>
  <w:num w:numId="17" w16cid:durableId="1793863531">
    <w:abstractNumId w:val="14"/>
  </w:num>
  <w:num w:numId="18" w16cid:durableId="1402289732">
    <w:abstractNumId w:val="18"/>
  </w:num>
  <w:num w:numId="19" w16cid:durableId="1744642633">
    <w:abstractNumId w:val="19"/>
  </w:num>
  <w:num w:numId="20" w16cid:durableId="1456869053">
    <w:abstractNumId w:val="5"/>
  </w:num>
  <w:num w:numId="21" w16cid:durableId="1900284991">
    <w:abstractNumId w:val="20"/>
  </w:num>
  <w:num w:numId="22" w16cid:durableId="20552683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2BD"/>
    <w:rsid w:val="000008E8"/>
    <w:rsid w:val="000011CF"/>
    <w:rsid w:val="0000546D"/>
    <w:rsid w:val="00010160"/>
    <w:rsid w:val="0001041A"/>
    <w:rsid w:val="00010561"/>
    <w:rsid w:val="0001119F"/>
    <w:rsid w:val="00012164"/>
    <w:rsid w:val="00012C51"/>
    <w:rsid w:val="00013962"/>
    <w:rsid w:val="00020244"/>
    <w:rsid w:val="00020D53"/>
    <w:rsid w:val="000219F6"/>
    <w:rsid w:val="00024297"/>
    <w:rsid w:val="00025359"/>
    <w:rsid w:val="00025813"/>
    <w:rsid w:val="00025F43"/>
    <w:rsid w:val="00025F94"/>
    <w:rsid w:val="000269C0"/>
    <w:rsid w:val="0002758E"/>
    <w:rsid w:val="00030749"/>
    <w:rsid w:val="000314B2"/>
    <w:rsid w:val="0003179E"/>
    <w:rsid w:val="00034425"/>
    <w:rsid w:val="000364C4"/>
    <w:rsid w:val="00036884"/>
    <w:rsid w:val="00037A07"/>
    <w:rsid w:val="00037FFC"/>
    <w:rsid w:val="00040028"/>
    <w:rsid w:val="0004306F"/>
    <w:rsid w:val="000443F5"/>
    <w:rsid w:val="00045445"/>
    <w:rsid w:val="00045B57"/>
    <w:rsid w:val="0004602A"/>
    <w:rsid w:val="00046853"/>
    <w:rsid w:val="00046DB3"/>
    <w:rsid w:val="00050511"/>
    <w:rsid w:val="0005056F"/>
    <w:rsid w:val="000510C9"/>
    <w:rsid w:val="00053B12"/>
    <w:rsid w:val="00055243"/>
    <w:rsid w:val="00060805"/>
    <w:rsid w:val="00061926"/>
    <w:rsid w:val="00062088"/>
    <w:rsid w:val="00064713"/>
    <w:rsid w:val="00065862"/>
    <w:rsid w:val="000674FC"/>
    <w:rsid w:val="00076D67"/>
    <w:rsid w:val="00081966"/>
    <w:rsid w:val="00087455"/>
    <w:rsid w:val="000922B1"/>
    <w:rsid w:val="00094251"/>
    <w:rsid w:val="000952EC"/>
    <w:rsid w:val="00097D94"/>
    <w:rsid w:val="000A081E"/>
    <w:rsid w:val="000A10E2"/>
    <w:rsid w:val="000A1A12"/>
    <w:rsid w:val="000A2973"/>
    <w:rsid w:val="000A4965"/>
    <w:rsid w:val="000B00B4"/>
    <w:rsid w:val="000B37D1"/>
    <w:rsid w:val="000B39B8"/>
    <w:rsid w:val="000B598A"/>
    <w:rsid w:val="000B786A"/>
    <w:rsid w:val="000C6817"/>
    <w:rsid w:val="000C7041"/>
    <w:rsid w:val="000D0198"/>
    <w:rsid w:val="000D0FA6"/>
    <w:rsid w:val="000D28EF"/>
    <w:rsid w:val="000E0741"/>
    <w:rsid w:val="000E2665"/>
    <w:rsid w:val="000E2BFA"/>
    <w:rsid w:val="000E3B95"/>
    <w:rsid w:val="000E466E"/>
    <w:rsid w:val="000E4AF4"/>
    <w:rsid w:val="000E64ED"/>
    <w:rsid w:val="000E7789"/>
    <w:rsid w:val="000E7E44"/>
    <w:rsid w:val="000F436B"/>
    <w:rsid w:val="000F46E5"/>
    <w:rsid w:val="000F539B"/>
    <w:rsid w:val="000F5D45"/>
    <w:rsid w:val="000F707C"/>
    <w:rsid w:val="001043A8"/>
    <w:rsid w:val="00104469"/>
    <w:rsid w:val="00104E41"/>
    <w:rsid w:val="00106109"/>
    <w:rsid w:val="001066FF"/>
    <w:rsid w:val="00113501"/>
    <w:rsid w:val="00113644"/>
    <w:rsid w:val="00114440"/>
    <w:rsid w:val="00117D7D"/>
    <w:rsid w:val="00122EB0"/>
    <w:rsid w:val="0012481F"/>
    <w:rsid w:val="00124880"/>
    <w:rsid w:val="00126043"/>
    <w:rsid w:val="001270BB"/>
    <w:rsid w:val="001331B8"/>
    <w:rsid w:val="001359BF"/>
    <w:rsid w:val="00136832"/>
    <w:rsid w:val="00136AB6"/>
    <w:rsid w:val="00137972"/>
    <w:rsid w:val="0014140D"/>
    <w:rsid w:val="001445E8"/>
    <w:rsid w:val="0014570D"/>
    <w:rsid w:val="00151651"/>
    <w:rsid w:val="00151913"/>
    <w:rsid w:val="0015325B"/>
    <w:rsid w:val="00155329"/>
    <w:rsid w:val="0016055B"/>
    <w:rsid w:val="0016316A"/>
    <w:rsid w:val="00164998"/>
    <w:rsid w:val="001670B2"/>
    <w:rsid w:val="00167FE1"/>
    <w:rsid w:val="001716FD"/>
    <w:rsid w:val="00172CC7"/>
    <w:rsid w:val="0017450A"/>
    <w:rsid w:val="00175ACB"/>
    <w:rsid w:val="0018068D"/>
    <w:rsid w:val="001829BB"/>
    <w:rsid w:val="001908E8"/>
    <w:rsid w:val="001921E9"/>
    <w:rsid w:val="0019400B"/>
    <w:rsid w:val="0019440F"/>
    <w:rsid w:val="001974AA"/>
    <w:rsid w:val="001A16CB"/>
    <w:rsid w:val="001A5CDB"/>
    <w:rsid w:val="001A7B0F"/>
    <w:rsid w:val="001B0792"/>
    <w:rsid w:val="001B292D"/>
    <w:rsid w:val="001B6F0F"/>
    <w:rsid w:val="001B7490"/>
    <w:rsid w:val="001C01C2"/>
    <w:rsid w:val="001C046F"/>
    <w:rsid w:val="001C3464"/>
    <w:rsid w:val="001C60AB"/>
    <w:rsid w:val="001C71FE"/>
    <w:rsid w:val="001C7680"/>
    <w:rsid w:val="001C7FBB"/>
    <w:rsid w:val="001D6BC6"/>
    <w:rsid w:val="001D7E9B"/>
    <w:rsid w:val="001E1375"/>
    <w:rsid w:val="001E46FE"/>
    <w:rsid w:val="001F0831"/>
    <w:rsid w:val="001F1C59"/>
    <w:rsid w:val="001F1EF2"/>
    <w:rsid w:val="001F2869"/>
    <w:rsid w:val="001F5F7A"/>
    <w:rsid w:val="001F65C8"/>
    <w:rsid w:val="001F77E6"/>
    <w:rsid w:val="00203D4A"/>
    <w:rsid w:val="00206C03"/>
    <w:rsid w:val="0022534A"/>
    <w:rsid w:val="00227779"/>
    <w:rsid w:val="00232D2F"/>
    <w:rsid w:val="00233569"/>
    <w:rsid w:val="002339A8"/>
    <w:rsid w:val="0023493B"/>
    <w:rsid w:val="00234967"/>
    <w:rsid w:val="00234AFE"/>
    <w:rsid w:val="00235EC5"/>
    <w:rsid w:val="002417D5"/>
    <w:rsid w:val="00242D99"/>
    <w:rsid w:val="0024454F"/>
    <w:rsid w:val="002465C4"/>
    <w:rsid w:val="002466B1"/>
    <w:rsid w:val="00250CBC"/>
    <w:rsid w:val="00250DF0"/>
    <w:rsid w:val="0025213E"/>
    <w:rsid w:val="0025354B"/>
    <w:rsid w:val="00253FED"/>
    <w:rsid w:val="00254221"/>
    <w:rsid w:val="002608D8"/>
    <w:rsid w:val="0026375B"/>
    <w:rsid w:val="00263E3E"/>
    <w:rsid w:val="00263E50"/>
    <w:rsid w:val="00265D1B"/>
    <w:rsid w:val="00267150"/>
    <w:rsid w:val="00270C22"/>
    <w:rsid w:val="0027104A"/>
    <w:rsid w:val="002711D2"/>
    <w:rsid w:val="00273438"/>
    <w:rsid w:val="002734D7"/>
    <w:rsid w:val="00273D35"/>
    <w:rsid w:val="00274B1A"/>
    <w:rsid w:val="002751C9"/>
    <w:rsid w:val="002836E4"/>
    <w:rsid w:val="002847A9"/>
    <w:rsid w:val="0029104B"/>
    <w:rsid w:val="002920DE"/>
    <w:rsid w:val="00292B3D"/>
    <w:rsid w:val="002942EE"/>
    <w:rsid w:val="00295394"/>
    <w:rsid w:val="002A27A3"/>
    <w:rsid w:val="002A36DD"/>
    <w:rsid w:val="002A5BF7"/>
    <w:rsid w:val="002A6013"/>
    <w:rsid w:val="002B128C"/>
    <w:rsid w:val="002B228A"/>
    <w:rsid w:val="002B3398"/>
    <w:rsid w:val="002B7805"/>
    <w:rsid w:val="002B78CD"/>
    <w:rsid w:val="002C7F83"/>
    <w:rsid w:val="002D2A5B"/>
    <w:rsid w:val="002D704D"/>
    <w:rsid w:val="002E2078"/>
    <w:rsid w:val="002E3920"/>
    <w:rsid w:val="002E6073"/>
    <w:rsid w:val="002F1764"/>
    <w:rsid w:val="002F2C49"/>
    <w:rsid w:val="002F353F"/>
    <w:rsid w:val="002F468F"/>
    <w:rsid w:val="002F676D"/>
    <w:rsid w:val="002F7C9F"/>
    <w:rsid w:val="0030055F"/>
    <w:rsid w:val="0030461F"/>
    <w:rsid w:val="00305F28"/>
    <w:rsid w:val="00310E14"/>
    <w:rsid w:val="00311D8A"/>
    <w:rsid w:val="003129D6"/>
    <w:rsid w:val="003148A3"/>
    <w:rsid w:val="003166A9"/>
    <w:rsid w:val="003168CE"/>
    <w:rsid w:val="00320DFE"/>
    <w:rsid w:val="00321798"/>
    <w:rsid w:val="0032269F"/>
    <w:rsid w:val="00322B80"/>
    <w:rsid w:val="00324423"/>
    <w:rsid w:val="003245A6"/>
    <w:rsid w:val="00324836"/>
    <w:rsid w:val="00324E8C"/>
    <w:rsid w:val="00325DF7"/>
    <w:rsid w:val="003268E9"/>
    <w:rsid w:val="00326DD2"/>
    <w:rsid w:val="00336399"/>
    <w:rsid w:val="00336F5F"/>
    <w:rsid w:val="003370D2"/>
    <w:rsid w:val="00340538"/>
    <w:rsid w:val="00341538"/>
    <w:rsid w:val="00342EE1"/>
    <w:rsid w:val="00344973"/>
    <w:rsid w:val="00345DED"/>
    <w:rsid w:val="00350BB4"/>
    <w:rsid w:val="003562B1"/>
    <w:rsid w:val="00357F42"/>
    <w:rsid w:val="00361335"/>
    <w:rsid w:val="00362A67"/>
    <w:rsid w:val="00367AEE"/>
    <w:rsid w:val="0037266B"/>
    <w:rsid w:val="0037385C"/>
    <w:rsid w:val="003740C6"/>
    <w:rsid w:val="00375674"/>
    <w:rsid w:val="00375C79"/>
    <w:rsid w:val="00376620"/>
    <w:rsid w:val="00376918"/>
    <w:rsid w:val="00383230"/>
    <w:rsid w:val="0038463D"/>
    <w:rsid w:val="00384B31"/>
    <w:rsid w:val="00385CBA"/>
    <w:rsid w:val="00391D99"/>
    <w:rsid w:val="00392B06"/>
    <w:rsid w:val="0039557D"/>
    <w:rsid w:val="00396D93"/>
    <w:rsid w:val="00397A11"/>
    <w:rsid w:val="003A042E"/>
    <w:rsid w:val="003A37CA"/>
    <w:rsid w:val="003A6822"/>
    <w:rsid w:val="003A7D2A"/>
    <w:rsid w:val="003B0268"/>
    <w:rsid w:val="003B055E"/>
    <w:rsid w:val="003B0C80"/>
    <w:rsid w:val="003B2BC6"/>
    <w:rsid w:val="003B43FC"/>
    <w:rsid w:val="003B52FB"/>
    <w:rsid w:val="003B5AD7"/>
    <w:rsid w:val="003B67B2"/>
    <w:rsid w:val="003C24E8"/>
    <w:rsid w:val="003C3F20"/>
    <w:rsid w:val="003C413F"/>
    <w:rsid w:val="003C49B8"/>
    <w:rsid w:val="003C755C"/>
    <w:rsid w:val="003D2635"/>
    <w:rsid w:val="003D2D5E"/>
    <w:rsid w:val="003D51AF"/>
    <w:rsid w:val="003E4EA0"/>
    <w:rsid w:val="003E589B"/>
    <w:rsid w:val="003E6B96"/>
    <w:rsid w:val="003E6D0C"/>
    <w:rsid w:val="003E7E0E"/>
    <w:rsid w:val="003F04F2"/>
    <w:rsid w:val="003F14D9"/>
    <w:rsid w:val="003F25F2"/>
    <w:rsid w:val="003F304D"/>
    <w:rsid w:val="003F3C3E"/>
    <w:rsid w:val="003F5695"/>
    <w:rsid w:val="003F79B9"/>
    <w:rsid w:val="00400FED"/>
    <w:rsid w:val="0040231B"/>
    <w:rsid w:val="004030F0"/>
    <w:rsid w:val="00411572"/>
    <w:rsid w:val="0041214D"/>
    <w:rsid w:val="00413221"/>
    <w:rsid w:val="00413307"/>
    <w:rsid w:val="00414A32"/>
    <w:rsid w:val="00417474"/>
    <w:rsid w:val="0041787F"/>
    <w:rsid w:val="00417B3D"/>
    <w:rsid w:val="004211DC"/>
    <w:rsid w:val="00421FDC"/>
    <w:rsid w:val="004222AD"/>
    <w:rsid w:val="0043018E"/>
    <w:rsid w:val="00430622"/>
    <w:rsid w:val="00431607"/>
    <w:rsid w:val="004316F5"/>
    <w:rsid w:val="00431DF8"/>
    <w:rsid w:val="00434152"/>
    <w:rsid w:val="00434417"/>
    <w:rsid w:val="004376FB"/>
    <w:rsid w:val="00441C60"/>
    <w:rsid w:val="0044624C"/>
    <w:rsid w:val="00450A22"/>
    <w:rsid w:val="00452678"/>
    <w:rsid w:val="00460BAC"/>
    <w:rsid w:val="00461E2C"/>
    <w:rsid w:val="0046572F"/>
    <w:rsid w:val="00465D30"/>
    <w:rsid w:val="0047102C"/>
    <w:rsid w:val="00473601"/>
    <w:rsid w:val="00474E14"/>
    <w:rsid w:val="004772E1"/>
    <w:rsid w:val="00477FBC"/>
    <w:rsid w:val="0048098F"/>
    <w:rsid w:val="00482E4A"/>
    <w:rsid w:val="00484105"/>
    <w:rsid w:val="00484312"/>
    <w:rsid w:val="00485C1E"/>
    <w:rsid w:val="0048685F"/>
    <w:rsid w:val="00487CFA"/>
    <w:rsid w:val="0049039F"/>
    <w:rsid w:val="0049092B"/>
    <w:rsid w:val="00492535"/>
    <w:rsid w:val="00492DEE"/>
    <w:rsid w:val="00493FEC"/>
    <w:rsid w:val="0049620F"/>
    <w:rsid w:val="00496B80"/>
    <w:rsid w:val="004A01A3"/>
    <w:rsid w:val="004A1F83"/>
    <w:rsid w:val="004A459E"/>
    <w:rsid w:val="004A5449"/>
    <w:rsid w:val="004B0BE5"/>
    <w:rsid w:val="004B1164"/>
    <w:rsid w:val="004B33D3"/>
    <w:rsid w:val="004B4C92"/>
    <w:rsid w:val="004B5BDB"/>
    <w:rsid w:val="004B63E0"/>
    <w:rsid w:val="004C0635"/>
    <w:rsid w:val="004C0E8E"/>
    <w:rsid w:val="004C12C9"/>
    <w:rsid w:val="004C18DF"/>
    <w:rsid w:val="004C5F44"/>
    <w:rsid w:val="004C728A"/>
    <w:rsid w:val="004D07B8"/>
    <w:rsid w:val="004D0EBB"/>
    <w:rsid w:val="004D1D1A"/>
    <w:rsid w:val="004D2FD4"/>
    <w:rsid w:val="004D3074"/>
    <w:rsid w:val="004D4881"/>
    <w:rsid w:val="004D5914"/>
    <w:rsid w:val="004D6090"/>
    <w:rsid w:val="004D6CE3"/>
    <w:rsid w:val="004D755C"/>
    <w:rsid w:val="004E033F"/>
    <w:rsid w:val="004E08EC"/>
    <w:rsid w:val="004E48C8"/>
    <w:rsid w:val="004F124D"/>
    <w:rsid w:val="004F4708"/>
    <w:rsid w:val="004F47E0"/>
    <w:rsid w:val="004F4B5A"/>
    <w:rsid w:val="004F4EE7"/>
    <w:rsid w:val="004F5EB9"/>
    <w:rsid w:val="004F6B88"/>
    <w:rsid w:val="004F719E"/>
    <w:rsid w:val="00500B4C"/>
    <w:rsid w:val="00501D05"/>
    <w:rsid w:val="00502D18"/>
    <w:rsid w:val="00503428"/>
    <w:rsid w:val="00504D05"/>
    <w:rsid w:val="00504D60"/>
    <w:rsid w:val="005051FD"/>
    <w:rsid w:val="00505760"/>
    <w:rsid w:val="00505900"/>
    <w:rsid w:val="00505989"/>
    <w:rsid w:val="00505F05"/>
    <w:rsid w:val="00506FF1"/>
    <w:rsid w:val="00507CB9"/>
    <w:rsid w:val="005108D3"/>
    <w:rsid w:val="005114BC"/>
    <w:rsid w:val="005125E4"/>
    <w:rsid w:val="005148B5"/>
    <w:rsid w:val="00514ECE"/>
    <w:rsid w:val="00517F9F"/>
    <w:rsid w:val="00521D1E"/>
    <w:rsid w:val="00521D6E"/>
    <w:rsid w:val="00522BCB"/>
    <w:rsid w:val="00524902"/>
    <w:rsid w:val="005251F0"/>
    <w:rsid w:val="0053067B"/>
    <w:rsid w:val="005342F9"/>
    <w:rsid w:val="00534BBC"/>
    <w:rsid w:val="00536998"/>
    <w:rsid w:val="00542713"/>
    <w:rsid w:val="00543D6A"/>
    <w:rsid w:val="0054468D"/>
    <w:rsid w:val="005453EB"/>
    <w:rsid w:val="00547139"/>
    <w:rsid w:val="00547AC1"/>
    <w:rsid w:val="005511AD"/>
    <w:rsid w:val="0055248E"/>
    <w:rsid w:val="0055260C"/>
    <w:rsid w:val="0055329D"/>
    <w:rsid w:val="0055515D"/>
    <w:rsid w:val="005562A9"/>
    <w:rsid w:val="005571A9"/>
    <w:rsid w:val="00557BB8"/>
    <w:rsid w:val="00563A9E"/>
    <w:rsid w:val="00566C6D"/>
    <w:rsid w:val="00567100"/>
    <w:rsid w:val="005676D1"/>
    <w:rsid w:val="005703CB"/>
    <w:rsid w:val="00571672"/>
    <w:rsid w:val="00572B0D"/>
    <w:rsid w:val="005736AF"/>
    <w:rsid w:val="00573AD9"/>
    <w:rsid w:val="0057503A"/>
    <w:rsid w:val="00583D8E"/>
    <w:rsid w:val="00591D36"/>
    <w:rsid w:val="00594EA7"/>
    <w:rsid w:val="005950E8"/>
    <w:rsid w:val="00596358"/>
    <w:rsid w:val="00596D8B"/>
    <w:rsid w:val="005A103C"/>
    <w:rsid w:val="005A212E"/>
    <w:rsid w:val="005A3A7B"/>
    <w:rsid w:val="005A4AF9"/>
    <w:rsid w:val="005A6FD8"/>
    <w:rsid w:val="005B2238"/>
    <w:rsid w:val="005B334D"/>
    <w:rsid w:val="005B35D7"/>
    <w:rsid w:val="005B3D3F"/>
    <w:rsid w:val="005B5086"/>
    <w:rsid w:val="005B52D0"/>
    <w:rsid w:val="005C0A71"/>
    <w:rsid w:val="005C0B1D"/>
    <w:rsid w:val="005C2A1C"/>
    <w:rsid w:val="005D4F3D"/>
    <w:rsid w:val="005D5927"/>
    <w:rsid w:val="005D5F31"/>
    <w:rsid w:val="005E08C3"/>
    <w:rsid w:val="005E0D62"/>
    <w:rsid w:val="005E6417"/>
    <w:rsid w:val="005E6E49"/>
    <w:rsid w:val="005E6FE5"/>
    <w:rsid w:val="005E765E"/>
    <w:rsid w:val="005F60FB"/>
    <w:rsid w:val="005F6D29"/>
    <w:rsid w:val="005F7F86"/>
    <w:rsid w:val="00604303"/>
    <w:rsid w:val="00610EB5"/>
    <w:rsid w:val="00612905"/>
    <w:rsid w:val="0061330C"/>
    <w:rsid w:val="00614491"/>
    <w:rsid w:val="0061509D"/>
    <w:rsid w:val="0062071A"/>
    <w:rsid w:val="0062270E"/>
    <w:rsid w:val="006237EC"/>
    <w:rsid w:val="00625EA2"/>
    <w:rsid w:val="00626EBA"/>
    <w:rsid w:val="00627C90"/>
    <w:rsid w:val="006305DC"/>
    <w:rsid w:val="00631E1D"/>
    <w:rsid w:val="00633D84"/>
    <w:rsid w:val="006347D2"/>
    <w:rsid w:val="00635B3A"/>
    <w:rsid w:val="00635E79"/>
    <w:rsid w:val="00642703"/>
    <w:rsid w:val="00642813"/>
    <w:rsid w:val="00644784"/>
    <w:rsid w:val="00647624"/>
    <w:rsid w:val="00650333"/>
    <w:rsid w:val="00652F31"/>
    <w:rsid w:val="00655240"/>
    <w:rsid w:val="0066080C"/>
    <w:rsid w:val="00662F6B"/>
    <w:rsid w:val="00663C44"/>
    <w:rsid w:val="0066433D"/>
    <w:rsid w:val="006714D9"/>
    <w:rsid w:val="0067183F"/>
    <w:rsid w:val="00671FC6"/>
    <w:rsid w:val="006729AF"/>
    <w:rsid w:val="00672BC5"/>
    <w:rsid w:val="006742F1"/>
    <w:rsid w:val="00674AE5"/>
    <w:rsid w:val="006753D6"/>
    <w:rsid w:val="00681391"/>
    <w:rsid w:val="00686851"/>
    <w:rsid w:val="006873B9"/>
    <w:rsid w:val="006919DD"/>
    <w:rsid w:val="0069473F"/>
    <w:rsid w:val="00694D18"/>
    <w:rsid w:val="006977BD"/>
    <w:rsid w:val="006A077D"/>
    <w:rsid w:val="006A104E"/>
    <w:rsid w:val="006A1687"/>
    <w:rsid w:val="006A2316"/>
    <w:rsid w:val="006A47BD"/>
    <w:rsid w:val="006A745A"/>
    <w:rsid w:val="006B0013"/>
    <w:rsid w:val="006B1BDC"/>
    <w:rsid w:val="006B3E7C"/>
    <w:rsid w:val="006B6A94"/>
    <w:rsid w:val="006B7F06"/>
    <w:rsid w:val="006C3313"/>
    <w:rsid w:val="006C748D"/>
    <w:rsid w:val="006C78D0"/>
    <w:rsid w:val="006C7E2F"/>
    <w:rsid w:val="006D20BA"/>
    <w:rsid w:val="006D30F0"/>
    <w:rsid w:val="006E0A27"/>
    <w:rsid w:val="006E0EC4"/>
    <w:rsid w:val="006E612B"/>
    <w:rsid w:val="006E73FB"/>
    <w:rsid w:val="006E76A9"/>
    <w:rsid w:val="006F428C"/>
    <w:rsid w:val="006F53D9"/>
    <w:rsid w:val="006F613C"/>
    <w:rsid w:val="007024E5"/>
    <w:rsid w:val="00703167"/>
    <w:rsid w:val="0070410A"/>
    <w:rsid w:val="007077D8"/>
    <w:rsid w:val="00710C1E"/>
    <w:rsid w:val="0071375A"/>
    <w:rsid w:val="007326FA"/>
    <w:rsid w:val="00734872"/>
    <w:rsid w:val="007364A5"/>
    <w:rsid w:val="00736A4F"/>
    <w:rsid w:val="00737BB0"/>
    <w:rsid w:val="00737D08"/>
    <w:rsid w:val="007407EC"/>
    <w:rsid w:val="0074143A"/>
    <w:rsid w:val="00741BB1"/>
    <w:rsid w:val="007442FA"/>
    <w:rsid w:val="0074472C"/>
    <w:rsid w:val="00745B6F"/>
    <w:rsid w:val="007506D2"/>
    <w:rsid w:val="007507C0"/>
    <w:rsid w:val="007512F8"/>
    <w:rsid w:val="00756950"/>
    <w:rsid w:val="00757662"/>
    <w:rsid w:val="00762119"/>
    <w:rsid w:val="00764024"/>
    <w:rsid w:val="00765513"/>
    <w:rsid w:val="007730F8"/>
    <w:rsid w:val="00774356"/>
    <w:rsid w:val="00781288"/>
    <w:rsid w:val="007815D2"/>
    <w:rsid w:val="007860B9"/>
    <w:rsid w:val="0079182A"/>
    <w:rsid w:val="00792B34"/>
    <w:rsid w:val="00794161"/>
    <w:rsid w:val="00795555"/>
    <w:rsid w:val="007A08DD"/>
    <w:rsid w:val="007A10B4"/>
    <w:rsid w:val="007A2574"/>
    <w:rsid w:val="007A5BC3"/>
    <w:rsid w:val="007B1BE4"/>
    <w:rsid w:val="007B1C73"/>
    <w:rsid w:val="007B1E37"/>
    <w:rsid w:val="007B5E94"/>
    <w:rsid w:val="007B6C6B"/>
    <w:rsid w:val="007B73EC"/>
    <w:rsid w:val="007C0D42"/>
    <w:rsid w:val="007C2296"/>
    <w:rsid w:val="007C419C"/>
    <w:rsid w:val="007C4257"/>
    <w:rsid w:val="007C6244"/>
    <w:rsid w:val="007D18F5"/>
    <w:rsid w:val="007D3CFE"/>
    <w:rsid w:val="007E403E"/>
    <w:rsid w:val="007E4524"/>
    <w:rsid w:val="007F3287"/>
    <w:rsid w:val="007F6408"/>
    <w:rsid w:val="007F6686"/>
    <w:rsid w:val="008054FD"/>
    <w:rsid w:val="008064BB"/>
    <w:rsid w:val="008137C4"/>
    <w:rsid w:val="008147DF"/>
    <w:rsid w:val="00815C5E"/>
    <w:rsid w:val="008212CC"/>
    <w:rsid w:val="0082181B"/>
    <w:rsid w:val="008244D2"/>
    <w:rsid w:val="00824B58"/>
    <w:rsid w:val="00826571"/>
    <w:rsid w:val="008268A6"/>
    <w:rsid w:val="00826CCD"/>
    <w:rsid w:val="00830734"/>
    <w:rsid w:val="0083240C"/>
    <w:rsid w:val="00837C68"/>
    <w:rsid w:val="008413E4"/>
    <w:rsid w:val="0084282C"/>
    <w:rsid w:val="00842AE3"/>
    <w:rsid w:val="0084472B"/>
    <w:rsid w:val="00844957"/>
    <w:rsid w:val="00845D96"/>
    <w:rsid w:val="00854ED5"/>
    <w:rsid w:val="008572AC"/>
    <w:rsid w:val="00857D7C"/>
    <w:rsid w:val="00861360"/>
    <w:rsid w:val="00861472"/>
    <w:rsid w:val="00861605"/>
    <w:rsid w:val="00867EDE"/>
    <w:rsid w:val="008748FF"/>
    <w:rsid w:val="00874AE1"/>
    <w:rsid w:val="008779AF"/>
    <w:rsid w:val="00877D06"/>
    <w:rsid w:val="00881B33"/>
    <w:rsid w:val="008825D6"/>
    <w:rsid w:val="00885335"/>
    <w:rsid w:val="008869EF"/>
    <w:rsid w:val="008874E6"/>
    <w:rsid w:val="00897C2C"/>
    <w:rsid w:val="008A2967"/>
    <w:rsid w:val="008A33CC"/>
    <w:rsid w:val="008A5FFE"/>
    <w:rsid w:val="008A6B5D"/>
    <w:rsid w:val="008A6CBE"/>
    <w:rsid w:val="008A79F0"/>
    <w:rsid w:val="008B0031"/>
    <w:rsid w:val="008B1C2A"/>
    <w:rsid w:val="008B1CA1"/>
    <w:rsid w:val="008B3673"/>
    <w:rsid w:val="008B4917"/>
    <w:rsid w:val="008B4D90"/>
    <w:rsid w:val="008B5482"/>
    <w:rsid w:val="008C0283"/>
    <w:rsid w:val="008C13A5"/>
    <w:rsid w:val="008C290E"/>
    <w:rsid w:val="008C2AC5"/>
    <w:rsid w:val="008C4710"/>
    <w:rsid w:val="008C7008"/>
    <w:rsid w:val="008D13EC"/>
    <w:rsid w:val="008D1799"/>
    <w:rsid w:val="008D2AD7"/>
    <w:rsid w:val="008D2D20"/>
    <w:rsid w:val="008D405B"/>
    <w:rsid w:val="008E04C5"/>
    <w:rsid w:val="008E19D4"/>
    <w:rsid w:val="008E3841"/>
    <w:rsid w:val="008E3DC7"/>
    <w:rsid w:val="008E770B"/>
    <w:rsid w:val="008F09D0"/>
    <w:rsid w:val="008F4CCC"/>
    <w:rsid w:val="008F57A7"/>
    <w:rsid w:val="008F7969"/>
    <w:rsid w:val="00903200"/>
    <w:rsid w:val="0090413F"/>
    <w:rsid w:val="00906A6A"/>
    <w:rsid w:val="0091207D"/>
    <w:rsid w:val="00914012"/>
    <w:rsid w:val="00916A4D"/>
    <w:rsid w:val="00921011"/>
    <w:rsid w:val="009215F5"/>
    <w:rsid w:val="009224F7"/>
    <w:rsid w:val="00922AFA"/>
    <w:rsid w:val="00923D5B"/>
    <w:rsid w:val="00924A06"/>
    <w:rsid w:val="009362B2"/>
    <w:rsid w:val="00937F30"/>
    <w:rsid w:val="009428AB"/>
    <w:rsid w:val="00943A8E"/>
    <w:rsid w:val="00961B68"/>
    <w:rsid w:val="0096394D"/>
    <w:rsid w:val="00963FE8"/>
    <w:rsid w:val="0096593B"/>
    <w:rsid w:val="00965E6D"/>
    <w:rsid w:val="00970380"/>
    <w:rsid w:val="009720DE"/>
    <w:rsid w:val="00974D1F"/>
    <w:rsid w:val="00975102"/>
    <w:rsid w:val="0097542C"/>
    <w:rsid w:val="00976067"/>
    <w:rsid w:val="009772E0"/>
    <w:rsid w:val="00977B01"/>
    <w:rsid w:val="009810CA"/>
    <w:rsid w:val="00981B48"/>
    <w:rsid w:val="009820B1"/>
    <w:rsid w:val="009821AE"/>
    <w:rsid w:val="0098246D"/>
    <w:rsid w:val="00983702"/>
    <w:rsid w:val="00990DD5"/>
    <w:rsid w:val="0099312D"/>
    <w:rsid w:val="00994D17"/>
    <w:rsid w:val="009A1947"/>
    <w:rsid w:val="009A20BA"/>
    <w:rsid w:val="009A34C3"/>
    <w:rsid w:val="009A5F5E"/>
    <w:rsid w:val="009A69DE"/>
    <w:rsid w:val="009B49C2"/>
    <w:rsid w:val="009B5067"/>
    <w:rsid w:val="009B5C16"/>
    <w:rsid w:val="009B680F"/>
    <w:rsid w:val="009C42CE"/>
    <w:rsid w:val="009C6AFD"/>
    <w:rsid w:val="009D6765"/>
    <w:rsid w:val="009E109E"/>
    <w:rsid w:val="009E1BF0"/>
    <w:rsid w:val="009E1C5B"/>
    <w:rsid w:val="009F3405"/>
    <w:rsid w:val="009F49F6"/>
    <w:rsid w:val="009F534A"/>
    <w:rsid w:val="009F597B"/>
    <w:rsid w:val="009F62EA"/>
    <w:rsid w:val="00A029CC"/>
    <w:rsid w:val="00A07029"/>
    <w:rsid w:val="00A10C23"/>
    <w:rsid w:val="00A133C0"/>
    <w:rsid w:val="00A16F5E"/>
    <w:rsid w:val="00A2250E"/>
    <w:rsid w:val="00A229EB"/>
    <w:rsid w:val="00A22C30"/>
    <w:rsid w:val="00A2309A"/>
    <w:rsid w:val="00A234C4"/>
    <w:rsid w:val="00A249B1"/>
    <w:rsid w:val="00A27125"/>
    <w:rsid w:val="00A3093D"/>
    <w:rsid w:val="00A31E2B"/>
    <w:rsid w:val="00A32388"/>
    <w:rsid w:val="00A34F6E"/>
    <w:rsid w:val="00A400E5"/>
    <w:rsid w:val="00A4090B"/>
    <w:rsid w:val="00A43D14"/>
    <w:rsid w:val="00A45896"/>
    <w:rsid w:val="00A529DB"/>
    <w:rsid w:val="00A531AB"/>
    <w:rsid w:val="00A56038"/>
    <w:rsid w:val="00A56EA0"/>
    <w:rsid w:val="00A62EFE"/>
    <w:rsid w:val="00A648E9"/>
    <w:rsid w:val="00A657BB"/>
    <w:rsid w:val="00A6625D"/>
    <w:rsid w:val="00A666F4"/>
    <w:rsid w:val="00A67F5D"/>
    <w:rsid w:val="00A74614"/>
    <w:rsid w:val="00A74F00"/>
    <w:rsid w:val="00A7502B"/>
    <w:rsid w:val="00A752EA"/>
    <w:rsid w:val="00A75898"/>
    <w:rsid w:val="00A7770B"/>
    <w:rsid w:val="00A77B47"/>
    <w:rsid w:val="00A809CD"/>
    <w:rsid w:val="00A811C0"/>
    <w:rsid w:val="00A8126C"/>
    <w:rsid w:val="00A84220"/>
    <w:rsid w:val="00A90A93"/>
    <w:rsid w:val="00A97F31"/>
    <w:rsid w:val="00AA1A3D"/>
    <w:rsid w:val="00AA278D"/>
    <w:rsid w:val="00AA3EFD"/>
    <w:rsid w:val="00AA6473"/>
    <w:rsid w:val="00AB2A81"/>
    <w:rsid w:val="00AB7189"/>
    <w:rsid w:val="00AC10D3"/>
    <w:rsid w:val="00AC12A2"/>
    <w:rsid w:val="00AC1948"/>
    <w:rsid w:val="00AC5BE2"/>
    <w:rsid w:val="00AD1251"/>
    <w:rsid w:val="00AD2291"/>
    <w:rsid w:val="00AD24DF"/>
    <w:rsid w:val="00AD3149"/>
    <w:rsid w:val="00AD4193"/>
    <w:rsid w:val="00AD6316"/>
    <w:rsid w:val="00AD75AE"/>
    <w:rsid w:val="00AE0783"/>
    <w:rsid w:val="00AE09A4"/>
    <w:rsid w:val="00AE0EF3"/>
    <w:rsid w:val="00AE197A"/>
    <w:rsid w:val="00AE20B8"/>
    <w:rsid w:val="00AE2C48"/>
    <w:rsid w:val="00AE4653"/>
    <w:rsid w:val="00AE5783"/>
    <w:rsid w:val="00AE6549"/>
    <w:rsid w:val="00AE65BD"/>
    <w:rsid w:val="00AE7064"/>
    <w:rsid w:val="00AF0F50"/>
    <w:rsid w:val="00AF735B"/>
    <w:rsid w:val="00AF7E36"/>
    <w:rsid w:val="00B056CB"/>
    <w:rsid w:val="00B06120"/>
    <w:rsid w:val="00B10C81"/>
    <w:rsid w:val="00B1112B"/>
    <w:rsid w:val="00B1288D"/>
    <w:rsid w:val="00B129CA"/>
    <w:rsid w:val="00B15FE7"/>
    <w:rsid w:val="00B165A2"/>
    <w:rsid w:val="00B16860"/>
    <w:rsid w:val="00B16A86"/>
    <w:rsid w:val="00B2116F"/>
    <w:rsid w:val="00B21C8B"/>
    <w:rsid w:val="00B24631"/>
    <w:rsid w:val="00B266E2"/>
    <w:rsid w:val="00B3076A"/>
    <w:rsid w:val="00B31C44"/>
    <w:rsid w:val="00B3550A"/>
    <w:rsid w:val="00B37A71"/>
    <w:rsid w:val="00B41A49"/>
    <w:rsid w:val="00B439E3"/>
    <w:rsid w:val="00B45D6D"/>
    <w:rsid w:val="00B46923"/>
    <w:rsid w:val="00B5075B"/>
    <w:rsid w:val="00B51490"/>
    <w:rsid w:val="00B526D1"/>
    <w:rsid w:val="00B52C1E"/>
    <w:rsid w:val="00B56BF5"/>
    <w:rsid w:val="00B56C6B"/>
    <w:rsid w:val="00B57780"/>
    <w:rsid w:val="00B602FC"/>
    <w:rsid w:val="00B63B12"/>
    <w:rsid w:val="00B65258"/>
    <w:rsid w:val="00B674D1"/>
    <w:rsid w:val="00B674D2"/>
    <w:rsid w:val="00B67804"/>
    <w:rsid w:val="00B70575"/>
    <w:rsid w:val="00B718D8"/>
    <w:rsid w:val="00B729E9"/>
    <w:rsid w:val="00B73D03"/>
    <w:rsid w:val="00B7477A"/>
    <w:rsid w:val="00B74B85"/>
    <w:rsid w:val="00B76FAB"/>
    <w:rsid w:val="00B80665"/>
    <w:rsid w:val="00B81CE7"/>
    <w:rsid w:val="00B83485"/>
    <w:rsid w:val="00B8725C"/>
    <w:rsid w:val="00B87C67"/>
    <w:rsid w:val="00B90B82"/>
    <w:rsid w:val="00B96D14"/>
    <w:rsid w:val="00B96E7A"/>
    <w:rsid w:val="00BA1B8C"/>
    <w:rsid w:val="00BA2167"/>
    <w:rsid w:val="00BA4356"/>
    <w:rsid w:val="00BA560B"/>
    <w:rsid w:val="00BA6F3B"/>
    <w:rsid w:val="00BB3071"/>
    <w:rsid w:val="00BC39CC"/>
    <w:rsid w:val="00BC4412"/>
    <w:rsid w:val="00BC48FA"/>
    <w:rsid w:val="00BC671B"/>
    <w:rsid w:val="00BD1BDA"/>
    <w:rsid w:val="00BD1E22"/>
    <w:rsid w:val="00BD2C6A"/>
    <w:rsid w:val="00BD5FAB"/>
    <w:rsid w:val="00BE20C7"/>
    <w:rsid w:val="00BE37CE"/>
    <w:rsid w:val="00BF1A92"/>
    <w:rsid w:val="00BF7534"/>
    <w:rsid w:val="00C0010D"/>
    <w:rsid w:val="00C01E3A"/>
    <w:rsid w:val="00C03FA0"/>
    <w:rsid w:val="00C05C0E"/>
    <w:rsid w:val="00C10F0C"/>
    <w:rsid w:val="00C1537B"/>
    <w:rsid w:val="00C15437"/>
    <w:rsid w:val="00C16C81"/>
    <w:rsid w:val="00C1721E"/>
    <w:rsid w:val="00C20406"/>
    <w:rsid w:val="00C2122D"/>
    <w:rsid w:val="00C2137F"/>
    <w:rsid w:val="00C25588"/>
    <w:rsid w:val="00C260E6"/>
    <w:rsid w:val="00C31594"/>
    <w:rsid w:val="00C31EA8"/>
    <w:rsid w:val="00C33586"/>
    <w:rsid w:val="00C338F0"/>
    <w:rsid w:val="00C3571A"/>
    <w:rsid w:val="00C367ED"/>
    <w:rsid w:val="00C373D9"/>
    <w:rsid w:val="00C404DD"/>
    <w:rsid w:val="00C432AB"/>
    <w:rsid w:val="00C459A5"/>
    <w:rsid w:val="00C4798E"/>
    <w:rsid w:val="00C47F91"/>
    <w:rsid w:val="00C517DB"/>
    <w:rsid w:val="00C51B63"/>
    <w:rsid w:val="00C52ADE"/>
    <w:rsid w:val="00C530F1"/>
    <w:rsid w:val="00C54965"/>
    <w:rsid w:val="00C56B46"/>
    <w:rsid w:val="00C638EF"/>
    <w:rsid w:val="00C774BB"/>
    <w:rsid w:val="00C81A76"/>
    <w:rsid w:val="00C81CAF"/>
    <w:rsid w:val="00C82FAB"/>
    <w:rsid w:val="00C83ECE"/>
    <w:rsid w:val="00C86156"/>
    <w:rsid w:val="00C87756"/>
    <w:rsid w:val="00C87BAC"/>
    <w:rsid w:val="00C87E00"/>
    <w:rsid w:val="00C902D4"/>
    <w:rsid w:val="00C93538"/>
    <w:rsid w:val="00C93FD2"/>
    <w:rsid w:val="00C947B0"/>
    <w:rsid w:val="00CA3A11"/>
    <w:rsid w:val="00CA6DB6"/>
    <w:rsid w:val="00CB2671"/>
    <w:rsid w:val="00CB314F"/>
    <w:rsid w:val="00CB60AB"/>
    <w:rsid w:val="00CC4DAB"/>
    <w:rsid w:val="00CC4FED"/>
    <w:rsid w:val="00CD4CB4"/>
    <w:rsid w:val="00CD5B32"/>
    <w:rsid w:val="00CE10B2"/>
    <w:rsid w:val="00CE1EEA"/>
    <w:rsid w:val="00CE39B8"/>
    <w:rsid w:val="00CE584E"/>
    <w:rsid w:val="00CE6D0E"/>
    <w:rsid w:val="00CE70D6"/>
    <w:rsid w:val="00CF39F0"/>
    <w:rsid w:val="00CF5107"/>
    <w:rsid w:val="00CF5B53"/>
    <w:rsid w:val="00CF5D58"/>
    <w:rsid w:val="00D008C4"/>
    <w:rsid w:val="00D017D9"/>
    <w:rsid w:val="00D0299E"/>
    <w:rsid w:val="00D04732"/>
    <w:rsid w:val="00D12E4E"/>
    <w:rsid w:val="00D14E6F"/>
    <w:rsid w:val="00D1645E"/>
    <w:rsid w:val="00D17CC7"/>
    <w:rsid w:val="00D17EF0"/>
    <w:rsid w:val="00D21173"/>
    <w:rsid w:val="00D2132A"/>
    <w:rsid w:val="00D223BE"/>
    <w:rsid w:val="00D254D8"/>
    <w:rsid w:val="00D26EB8"/>
    <w:rsid w:val="00D3376D"/>
    <w:rsid w:val="00D345C9"/>
    <w:rsid w:val="00D3504F"/>
    <w:rsid w:val="00D362BD"/>
    <w:rsid w:val="00D37517"/>
    <w:rsid w:val="00D45539"/>
    <w:rsid w:val="00D47652"/>
    <w:rsid w:val="00D47741"/>
    <w:rsid w:val="00D47877"/>
    <w:rsid w:val="00D47A8D"/>
    <w:rsid w:val="00D50103"/>
    <w:rsid w:val="00D50C74"/>
    <w:rsid w:val="00D51454"/>
    <w:rsid w:val="00D52644"/>
    <w:rsid w:val="00D55EF3"/>
    <w:rsid w:val="00D62343"/>
    <w:rsid w:val="00D627C0"/>
    <w:rsid w:val="00D63EBE"/>
    <w:rsid w:val="00D67C4F"/>
    <w:rsid w:val="00D7573C"/>
    <w:rsid w:val="00D75810"/>
    <w:rsid w:val="00D75DF2"/>
    <w:rsid w:val="00D7788C"/>
    <w:rsid w:val="00D80299"/>
    <w:rsid w:val="00D802ED"/>
    <w:rsid w:val="00D92A73"/>
    <w:rsid w:val="00D95B91"/>
    <w:rsid w:val="00D96575"/>
    <w:rsid w:val="00DA1978"/>
    <w:rsid w:val="00DA2ED3"/>
    <w:rsid w:val="00DA3D5C"/>
    <w:rsid w:val="00DA6ACE"/>
    <w:rsid w:val="00DB21E6"/>
    <w:rsid w:val="00DB22FA"/>
    <w:rsid w:val="00DB5408"/>
    <w:rsid w:val="00DB661A"/>
    <w:rsid w:val="00DC1751"/>
    <w:rsid w:val="00DC35C3"/>
    <w:rsid w:val="00DC50BC"/>
    <w:rsid w:val="00DC57EB"/>
    <w:rsid w:val="00DC711E"/>
    <w:rsid w:val="00DC7558"/>
    <w:rsid w:val="00DD0DE1"/>
    <w:rsid w:val="00DD3A7D"/>
    <w:rsid w:val="00DD65DD"/>
    <w:rsid w:val="00DD6877"/>
    <w:rsid w:val="00DD6927"/>
    <w:rsid w:val="00DE01B5"/>
    <w:rsid w:val="00DE1122"/>
    <w:rsid w:val="00DE40CC"/>
    <w:rsid w:val="00DE4ED7"/>
    <w:rsid w:val="00DE6325"/>
    <w:rsid w:val="00DE6557"/>
    <w:rsid w:val="00DE7D77"/>
    <w:rsid w:val="00DF0315"/>
    <w:rsid w:val="00DF103D"/>
    <w:rsid w:val="00DF197A"/>
    <w:rsid w:val="00DF44FC"/>
    <w:rsid w:val="00E021C5"/>
    <w:rsid w:val="00E0304E"/>
    <w:rsid w:val="00E031B0"/>
    <w:rsid w:val="00E03BA8"/>
    <w:rsid w:val="00E059DB"/>
    <w:rsid w:val="00E064E0"/>
    <w:rsid w:val="00E06AC0"/>
    <w:rsid w:val="00E072E1"/>
    <w:rsid w:val="00E07541"/>
    <w:rsid w:val="00E10158"/>
    <w:rsid w:val="00E10501"/>
    <w:rsid w:val="00E105BE"/>
    <w:rsid w:val="00E11F8E"/>
    <w:rsid w:val="00E131B0"/>
    <w:rsid w:val="00E20D62"/>
    <w:rsid w:val="00E21C9D"/>
    <w:rsid w:val="00E24088"/>
    <w:rsid w:val="00E242D4"/>
    <w:rsid w:val="00E26468"/>
    <w:rsid w:val="00E32296"/>
    <w:rsid w:val="00E32B13"/>
    <w:rsid w:val="00E33A91"/>
    <w:rsid w:val="00E34F0B"/>
    <w:rsid w:val="00E366F9"/>
    <w:rsid w:val="00E37469"/>
    <w:rsid w:val="00E4017B"/>
    <w:rsid w:val="00E41AB4"/>
    <w:rsid w:val="00E448E6"/>
    <w:rsid w:val="00E44C0F"/>
    <w:rsid w:val="00E44D4B"/>
    <w:rsid w:val="00E46720"/>
    <w:rsid w:val="00E473C1"/>
    <w:rsid w:val="00E51202"/>
    <w:rsid w:val="00E5162F"/>
    <w:rsid w:val="00E53444"/>
    <w:rsid w:val="00E535F3"/>
    <w:rsid w:val="00E55B99"/>
    <w:rsid w:val="00E563E6"/>
    <w:rsid w:val="00E619A2"/>
    <w:rsid w:val="00E61C0A"/>
    <w:rsid w:val="00E81A5A"/>
    <w:rsid w:val="00E852BF"/>
    <w:rsid w:val="00E85882"/>
    <w:rsid w:val="00E8590B"/>
    <w:rsid w:val="00E87A8B"/>
    <w:rsid w:val="00E92ACA"/>
    <w:rsid w:val="00E95C47"/>
    <w:rsid w:val="00E97116"/>
    <w:rsid w:val="00E97CE9"/>
    <w:rsid w:val="00EA3826"/>
    <w:rsid w:val="00EA669B"/>
    <w:rsid w:val="00EB2ED5"/>
    <w:rsid w:val="00EB71D8"/>
    <w:rsid w:val="00EC51B8"/>
    <w:rsid w:val="00EC7B31"/>
    <w:rsid w:val="00ED11CE"/>
    <w:rsid w:val="00ED4253"/>
    <w:rsid w:val="00EE05AE"/>
    <w:rsid w:val="00EE5B92"/>
    <w:rsid w:val="00EF0982"/>
    <w:rsid w:val="00EF4CA2"/>
    <w:rsid w:val="00EF7CD1"/>
    <w:rsid w:val="00F00CEA"/>
    <w:rsid w:val="00F01075"/>
    <w:rsid w:val="00F04FFF"/>
    <w:rsid w:val="00F11428"/>
    <w:rsid w:val="00F115D5"/>
    <w:rsid w:val="00F1787F"/>
    <w:rsid w:val="00F17F25"/>
    <w:rsid w:val="00F2190D"/>
    <w:rsid w:val="00F25775"/>
    <w:rsid w:val="00F27B70"/>
    <w:rsid w:val="00F30BCA"/>
    <w:rsid w:val="00F321AC"/>
    <w:rsid w:val="00F3407A"/>
    <w:rsid w:val="00F3591E"/>
    <w:rsid w:val="00F35922"/>
    <w:rsid w:val="00F3710B"/>
    <w:rsid w:val="00F37D20"/>
    <w:rsid w:val="00F40BA6"/>
    <w:rsid w:val="00F41E31"/>
    <w:rsid w:val="00F4248F"/>
    <w:rsid w:val="00F434A8"/>
    <w:rsid w:val="00F43A48"/>
    <w:rsid w:val="00F4676B"/>
    <w:rsid w:val="00F47CFA"/>
    <w:rsid w:val="00F51E13"/>
    <w:rsid w:val="00F53A35"/>
    <w:rsid w:val="00F557C7"/>
    <w:rsid w:val="00F5587D"/>
    <w:rsid w:val="00F57FDD"/>
    <w:rsid w:val="00F60EAF"/>
    <w:rsid w:val="00F60EB7"/>
    <w:rsid w:val="00F61707"/>
    <w:rsid w:val="00F626C1"/>
    <w:rsid w:val="00F641ED"/>
    <w:rsid w:val="00F64EB5"/>
    <w:rsid w:val="00F66CC0"/>
    <w:rsid w:val="00F7058B"/>
    <w:rsid w:val="00F7286D"/>
    <w:rsid w:val="00F74190"/>
    <w:rsid w:val="00F8005F"/>
    <w:rsid w:val="00F85192"/>
    <w:rsid w:val="00F85B6C"/>
    <w:rsid w:val="00F87A7D"/>
    <w:rsid w:val="00F91067"/>
    <w:rsid w:val="00F91EA4"/>
    <w:rsid w:val="00F91FA9"/>
    <w:rsid w:val="00F96674"/>
    <w:rsid w:val="00F96BEB"/>
    <w:rsid w:val="00FA0FE9"/>
    <w:rsid w:val="00FA15D7"/>
    <w:rsid w:val="00FB2629"/>
    <w:rsid w:val="00FB60C8"/>
    <w:rsid w:val="00FB7491"/>
    <w:rsid w:val="00FC02A8"/>
    <w:rsid w:val="00FC1628"/>
    <w:rsid w:val="00FC3D73"/>
    <w:rsid w:val="00FC4DB3"/>
    <w:rsid w:val="00FC5219"/>
    <w:rsid w:val="00FC531C"/>
    <w:rsid w:val="00FD245A"/>
    <w:rsid w:val="00FD3650"/>
    <w:rsid w:val="00FD6E6C"/>
    <w:rsid w:val="00FD7477"/>
    <w:rsid w:val="00FE531D"/>
    <w:rsid w:val="00FF380B"/>
    <w:rsid w:val="00FF6C67"/>
    <w:rsid w:val="784AE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8CF5E"/>
  <w15:docId w15:val="{469C3770-F762-40CB-A73C-A203BDFC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42EE"/>
    <w:pPr>
      <w:spacing w:before="0" w:after="0" w:line="240" w:lineRule="auto"/>
    </w:pPr>
    <w:rPr>
      <w:rFonts w:eastAsiaTheme="minorHAnsi" w:cstheme="minorHAnsi"/>
      <w:color w:val="544F40" w:themeColor="text1"/>
      <w:szCs w:val="52"/>
    </w:rPr>
  </w:style>
  <w:style w:type="paragraph" w:styleId="Heading1">
    <w:name w:val="heading 1"/>
    <w:basedOn w:val="Normal"/>
    <w:next w:val="Normal"/>
    <w:link w:val="Heading1Char"/>
    <w:uiPriority w:val="9"/>
    <w:rsid w:val="002942EE"/>
    <w:pPr>
      <w:keepNext/>
      <w:keepLines/>
      <w:spacing w:before="480"/>
      <w:outlineLvl w:val="0"/>
    </w:pPr>
    <w:rPr>
      <w:rFonts w:asciiTheme="majorHAnsi" w:eastAsiaTheme="majorEastAsia" w:hAnsiTheme="majorHAnsi" w:cstheme="majorBidi"/>
      <w:b/>
      <w:bCs/>
      <w:color w:val="CF3F0C" w:themeColor="accent1" w:themeShade="BF"/>
      <w:sz w:val="28"/>
      <w:szCs w:val="28"/>
    </w:rPr>
  </w:style>
  <w:style w:type="paragraph" w:styleId="Heading2">
    <w:name w:val="heading 2"/>
    <w:basedOn w:val="Normal"/>
    <w:next w:val="Normal"/>
    <w:link w:val="Heading2Char"/>
    <w:uiPriority w:val="9"/>
    <w:unhideWhenUsed/>
    <w:rsid w:val="002942EE"/>
    <w:pPr>
      <w:keepNext/>
      <w:keepLines/>
      <w:spacing w:before="200"/>
      <w:outlineLvl w:val="1"/>
    </w:pPr>
    <w:rPr>
      <w:rFonts w:asciiTheme="majorHAnsi" w:eastAsiaTheme="majorEastAsia" w:hAnsiTheme="majorHAnsi" w:cstheme="majorBidi"/>
      <w:b/>
      <w:bCs/>
      <w:color w:val="F36633" w:themeColor="accent1"/>
      <w:sz w:val="26"/>
      <w:szCs w:val="26"/>
    </w:rPr>
  </w:style>
  <w:style w:type="paragraph" w:styleId="Heading3">
    <w:name w:val="heading 3"/>
    <w:basedOn w:val="Normal"/>
    <w:next w:val="Normal"/>
    <w:link w:val="Heading3Char"/>
    <w:uiPriority w:val="9"/>
    <w:unhideWhenUsed/>
    <w:qFormat/>
    <w:rsid w:val="00A234C4"/>
    <w:pPr>
      <w:pBdr>
        <w:top w:val="single" w:sz="6" w:space="2" w:color="F36633" w:themeColor="accent1"/>
      </w:pBdr>
      <w:spacing w:before="300"/>
      <w:outlineLvl w:val="2"/>
    </w:pPr>
    <w:rPr>
      <w:caps/>
      <w:color w:val="8A2A08" w:themeColor="accent1" w:themeShade="7F"/>
      <w:spacing w:val="15"/>
    </w:rPr>
  </w:style>
  <w:style w:type="paragraph" w:styleId="Heading4">
    <w:name w:val="heading 4"/>
    <w:basedOn w:val="Normal"/>
    <w:next w:val="Normal"/>
    <w:link w:val="Heading4Char"/>
    <w:uiPriority w:val="9"/>
    <w:unhideWhenUsed/>
    <w:qFormat/>
    <w:rsid w:val="00A234C4"/>
    <w:pPr>
      <w:pBdr>
        <w:top w:val="dotted" w:sz="6" w:space="2" w:color="F36633" w:themeColor="accent1"/>
      </w:pBdr>
      <w:spacing w:before="200"/>
      <w:outlineLvl w:val="3"/>
    </w:pPr>
    <w:rPr>
      <w:caps/>
      <w:color w:val="CF3F0C" w:themeColor="accent1" w:themeShade="BF"/>
      <w:spacing w:val="10"/>
    </w:rPr>
  </w:style>
  <w:style w:type="paragraph" w:styleId="Heading5">
    <w:name w:val="heading 5"/>
    <w:basedOn w:val="Normal"/>
    <w:next w:val="Normal"/>
    <w:link w:val="Heading5Char"/>
    <w:uiPriority w:val="9"/>
    <w:semiHidden/>
    <w:unhideWhenUsed/>
    <w:qFormat/>
    <w:rsid w:val="00A234C4"/>
    <w:pPr>
      <w:pBdr>
        <w:bottom w:val="single" w:sz="6" w:space="1" w:color="F36633" w:themeColor="accent1"/>
      </w:pBdr>
      <w:spacing w:before="200"/>
      <w:outlineLvl w:val="4"/>
    </w:pPr>
    <w:rPr>
      <w:caps/>
      <w:color w:val="CF3F0C" w:themeColor="accent1" w:themeShade="BF"/>
      <w:spacing w:val="10"/>
    </w:rPr>
  </w:style>
  <w:style w:type="paragraph" w:styleId="Heading6">
    <w:name w:val="heading 6"/>
    <w:basedOn w:val="Normal"/>
    <w:next w:val="Normal"/>
    <w:link w:val="Heading6Char"/>
    <w:uiPriority w:val="9"/>
    <w:semiHidden/>
    <w:unhideWhenUsed/>
    <w:qFormat/>
    <w:rsid w:val="00A234C4"/>
    <w:pPr>
      <w:pBdr>
        <w:bottom w:val="dotted" w:sz="6" w:space="1" w:color="F36633" w:themeColor="accent1"/>
      </w:pBdr>
      <w:spacing w:before="200"/>
      <w:outlineLvl w:val="5"/>
    </w:pPr>
    <w:rPr>
      <w:caps/>
      <w:color w:val="CF3F0C" w:themeColor="accent1" w:themeShade="BF"/>
      <w:spacing w:val="10"/>
    </w:rPr>
  </w:style>
  <w:style w:type="paragraph" w:styleId="Heading7">
    <w:name w:val="heading 7"/>
    <w:basedOn w:val="Normal"/>
    <w:next w:val="Normal"/>
    <w:link w:val="Heading7Char"/>
    <w:uiPriority w:val="9"/>
    <w:semiHidden/>
    <w:unhideWhenUsed/>
    <w:qFormat/>
    <w:rsid w:val="00A234C4"/>
    <w:pPr>
      <w:spacing w:before="200"/>
      <w:outlineLvl w:val="6"/>
    </w:pPr>
    <w:rPr>
      <w:caps/>
      <w:color w:val="CF3F0C" w:themeColor="accent1" w:themeShade="BF"/>
      <w:spacing w:val="10"/>
    </w:rPr>
  </w:style>
  <w:style w:type="paragraph" w:styleId="Heading8">
    <w:name w:val="heading 8"/>
    <w:basedOn w:val="Normal"/>
    <w:next w:val="Normal"/>
    <w:link w:val="Heading8Char"/>
    <w:uiPriority w:val="9"/>
    <w:semiHidden/>
    <w:unhideWhenUsed/>
    <w:qFormat/>
    <w:rsid w:val="00A234C4"/>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A234C4"/>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42EE"/>
    <w:rPr>
      <w:color w:val="F36633" w:themeColor="hyperlink"/>
      <w:u w:val="single"/>
    </w:rPr>
  </w:style>
  <w:style w:type="character" w:styleId="FollowedHyperlink">
    <w:name w:val="FollowedHyperlink"/>
    <w:semiHidden/>
    <w:rPr>
      <w:color w:val="800080"/>
      <w:u w:val="single"/>
    </w:rPr>
  </w:style>
  <w:style w:type="paragraph" w:styleId="NormalWeb">
    <w:name w:val="Normal (Web)"/>
    <w:basedOn w:val="Normal"/>
    <w:uiPriority w:val="99"/>
    <w:semiHidden/>
    <w:pPr>
      <w:spacing w:beforeAutospacing="1" w:after="100" w:afterAutospacing="1"/>
    </w:pPr>
    <w:rPr>
      <w:rFonts w:ascii="Arial" w:hAnsi="Arial" w:cs="Arial"/>
      <w:sz w:val="24"/>
      <w:lang w:eastAsia="en-GB"/>
    </w:rPr>
  </w:style>
  <w:style w:type="paragraph" w:styleId="FootnoteText">
    <w:name w:val="footnote text"/>
    <w:basedOn w:val="Normal"/>
    <w:semiHidden/>
    <w:rPr>
      <w:rFonts w:ascii="Univers 45 Light" w:hAnsi="Univers 45 Light"/>
    </w:rPr>
  </w:style>
  <w:style w:type="character" w:styleId="FootnoteReference">
    <w:name w:val="footnote reference"/>
    <w:semiHidden/>
    <w:rPr>
      <w:vertAlign w:val="superscript"/>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rFonts w:ascii="Times New Roman" w:hAnsi="Times New Roman"/>
      <w:lang w:eastAsia="en-GB"/>
    </w:rPr>
  </w:style>
  <w:style w:type="character" w:customStyle="1" w:styleId="textbf">
    <w:name w:val="textbf"/>
    <w:rPr>
      <w:b/>
      <w:bCs/>
    </w:rPr>
  </w:style>
  <w:style w:type="paragraph" w:styleId="BodyText">
    <w:name w:val="Body Text"/>
    <w:basedOn w:val="Normal"/>
    <w:semiHidden/>
    <w:pPr>
      <w:autoSpaceDE w:val="0"/>
      <w:autoSpaceDN w:val="0"/>
      <w:adjustRightInd w:val="0"/>
    </w:pPr>
    <w:rPr>
      <w:color w:val="000000"/>
      <w:lang w:val="en-US"/>
    </w:rPr>
  </w:style>
  <w:style w:type="paragraph" w:styleId="ListBullet">
    <w:name w:val="List Bullet"/>
    <w:basedOn w:val="Normal"/>
    <w:uiPriority w:val="99"/>
    <w:unhideWhenUsed/>
    <w:rsid w:val="002942EE"/>
    <w:pPr>
      <w:numPr>
        <w:numId w:val="2"/>
      </w:numPr>
      <w:contextualSpacing/>
    </w:pPr>
  </w:style>
  <w:style w:type="character" w:customStyle="1" w:styleId="Heading1Char">
    <w:name w:val="Heading 1 Char"/>
    <w:basedOn w:val="DefaultParagraphFont"/>
    <w:link w:val="Heading1"/>
    <w:uiPriority w:val="9"/>
    <w:rsid w:val="002942EE"/>
    <w:rPr>
      <w:rFonts w:asciiTheme="majorHAnsi" w:eastAsiaTheme="majorEastAsia" w:hAnsiTheme="majorHAnsi" w:cstheme="majorBidi"/>
      <w:b/>
      <w:bCs/>
      <w:color w:val="CF3F0C" w:themeColor="accent1" w:themeShade="BF"/>
      <w:sz w:val="28"/>
      <w:szCs w:val="28"/>
    </w:rPr>
  </w:style>
  <w:style w:type="character" w:customStyle="1" w:styleId="Heading2Char">
    <w:name w:val="Heading 2 Char"/>
    <w:basedOn w:val="DefaultParagraphFont"/>
    <w:link w:val="Heading2"/>
    <w:uiPriority w:val="9"/>
    <w:rsid w:val="002942EE"/>
    <w:rPr>
      <w:rFonts w:asciiTheme="majorHAnsi" w:eastAsiaTheme="majorEastAsia" w:hAnsiTheme="majorHAnsi" w:cstheme="majorBidi"/>
      <w:b/>
      <w:bCs/>
      <w:color w:val="F36633" w:themeColor="accent1"/>
      <w:sz w:val="26"/>
      <w:szCs w:val="26"/>
    </w:rPr>
  </w:style>
  <w:style w:type="character" w:customStyle="1" w:styleId="Heading3Char">
    <w:name w:val="Heading 3 Char"/>
    <w:basedOn w:val="DefaultParagraphFont"/>
    <w:link w:val="Heading3"/>
    <w:uiPriority w:val="9"/>
    <w:rsid w:val="00A234C4"/>
    <w:rPr>
      <w:caps/>
      <w:color w:val="8A2A08" w:themeColor="accent1" w:themeShade="7F"/>
      <w:spacing w:val="15"/>
    </w:rPr>
  </w:style>
  <w:style w:type="paragraph" w:styleId="TOC1">
    <w:name w:val="toc 1"/>
    <w:basedOn w:val="Bodyheading"/>
    <w:next w:val="Normal"/>
    <w:autoRedefine/>
    <w:uiPriority w:val="39"/>
    <w:unhideWhenUsed/>
    <w:qFormat/>
    <w:rsid w:val="00DE7D77"/>
    <w:pPr>
      <w:framePr w:hSpace="180" w:wrap="around" w:vAnchor="text" w:hAnchor="page" w:x="949" w:y="1431"/>
      <w:tabs>
        <w:tab w:val="left" w:pos="660"/>
        <w:tab w:val="right" w:leader="dot" w:pos="10194"/>
      </w:tabs>
      <w:spacing w:before="100" w:line="360" w:lineRule="auto"/>
      <w:contextualSpacing/>
      <w:suppressOverlap/>
    </w:pPr>
    <w:rPr>
      <w:rFonts w:eastAsiaTheme="minorEastAsia" w:cstheme="minorBidi"/>
      <w:noProof/>
      <w:color w:val="07A9A5"/>
      <w:sz w:val="22"/>
      <w:szCs w:val="22"/>
      <w:lang w:val="en-US" w:eastAsia="ja-JP"/>
    </w:rPr>
  </w:style>
  <w:style w:type="paragraph" w:styleId="TOC2">
    <w:name w:val="toc 2"/>
    <w:basedOn w:val="Bodysubheading"/>
    <w:next w:val="FootnoteText"/>
    <w:autoRedefine/>
    <w:uiPriority w:val="39"/>
    <w:unhideWhenUsed/>
    <w:qFormat/>
    <w:rsid w:val="00B8725C"/>
    <w:pPr>
      <w:framePr w:hSpace="180" w:wrap="around" w:vAnchor="text" w:hAnchor="page" w:x="949" w:y="1431"/>
      <w:tabs>
        <w:tab w:val="left" w:pos="-10"/>
        <w:tab w:val="left" w:pos="660"/>
      </w:tabs>
      <w:contextualSpacing/>
      <w:suppressOverlap/>
    </w:pPr>
    <w:rPr>
      <w:rFonts w:eastAsiaTheme="minorEastAsia" w:cstheme="minorBidi"/>
      <w:szCs w:val="22"/>
      <w:lang w:val="en-US" w:eastAsia="ja-JP"/>
    </w:rPr>
  </w:style>
  <w:style w:type="paragraph" w:styleId="TOC3">
    <w:name w:val="toc 3"/>
    <w:basedOn w:val="Normal"/>
    <w:next w:val="Normal"/>
    <w:autoRedefine/>
    <w:uiPriority w:val="39"/>
    <w:unhideWhenUsed/>
    <w:qFormat/>
    <w:rsid w:val="002942EE"/>
    <w:pPr>
      <w:spacing w:after="100" w:line="276" w:lineRule="auto"/>
      <w:ind w:left="440"/>
    </w:pPr>
    <w:rPr>
      <w:rFonts w:eastAsiaTheme="minorEastAsia" w:cstheme="minorBidi"/>
      <w:color w:val="auto"/>
      <w:sz w:val="22"/>
      <w:szCs w:val="22"/>
      <w:lang w:val="en-US" w:eastAsia="ja-JP"/>
    </w:rPr>
  </w:style>
  <w:style w:type="paragraph" w:styleId="ListParagraph">
    <w:name w:val="List Paragraph"/>
    <w:basedOn w:val="Normal"/>
    <w:uiPriority w:val="34"/>
    <w:qFormat/>
    <w:rsid w:val="00E46720"/>
    <w:pPr>
      <w:ind w:left="720"/>
      <w:contextualSpacing/>
    </w:pPr>
  </w:style>
  <w:style w:type="paragraph" w:styleId="TOCHeading">
    <w:name w:val="TOC Heading"/>
    <w:basedOn w:val="Heading1"/>
    <w:next w:val="Normal"/>
    <w:uiPriority w:val="39"/>
    <w:unhideWhenUsed/>
    <w:qFormat/>
    <w:rsid w:val="002942EE"/>
    <w:pPr>
      <w:spacing w:line="276" w:lineRule="auto"/>
      <w:outlineLvl w:val="9"/>
    </w:pPr>
    <w:rPr>
      <w:lang w:val="en-US" w:eastAsia="ja-JP"/>
    </w:rPr>
  </w:style>
  <w:style w:type="paragraph" w:styleId="Title">
    <w:name w:val="Title"/>
    <w:basedOn w:val="Normal"/>
    <w:next w:val="Normal"/>
    <w:link w:val="TitleChar"/>
    <w:uiPriority w:val="10"/>
    <w:qFormat/>
    <w:rsid w:val="00A234C4"/>
    <w:rPr>
      <w:rFonts w:asciiTheme="majorHAnsi" w:eastAsiaTheme="majorEastAsia" w:hAnsiTheme="majorHAnsi" w:cstheme="majorBidi"/>
      <w:caps/>
      <w:color w:val="F36633" w:themeColor="accent1"/>
      <w:spacing w:val="10"/>
      <w:sz w:val="52"/>
    </w:rPr>
  </w:style>
  <w:style w:type="character" w:customStyle="1" w:styleId="TitleChar">
    <w:name w:val="Title Char"/>
    <w:basedOn w:val="DefaultParagraphFont"/>
    <w:link w:val="Title"/>
    <w:uiPriority w:val="10"/>
    <w:rsid w:val="00A234C4"/>
    <w:rPr>
      <w:rFonts w:asciiTheme="majorHAnsi" w:eastAsiaTheme="majorEastAsia" w:hAnsiTheme="majorHAnsi" w:cstheme="majorBidi"/>
      <w:caps/>
      <w:color w:val="F36633" w:themeColor="accent1"/>
      <w:spacing w:val="10"/>
      <w:sz w:val="52"/>
      <w:szCs w:val="52"/>
    </w:rPr>
  </w:style>
  <w:style w:type="paragraph" w:styleId="Header">
    <w:name w:val="header"/>
    <w:basedOn w:val="Normal"/>
    <w:link w:val="HeaderChar"/>
    <w:uiPriority w:val="99"/>
    <w:unhideWhenUsed/>
    <w:rsid w:val="002942EE"/>
    <w:pPr>
      <w:tabs>
        <w:tab w:val="center" w:pos="4513"/>
        <w:tab w:val="right" w:pos="9026"/>
      </w:tabs>
    </w:pPr>
  </w:style>
  <w:style w:type="character" w:customStyle="1" w:styleId="HeaderChar">
    <w:name w:val="Header Char"/>
    <w:basedOn w:val="DefaultParagraphFont"/>
    <w:link w:val="Header"/>
    <w:uiPriority w:val="99"/>
    <w:rsid w:val="002942EE"/>
    <w:rPr>
      <w:rFonts w:eastAsiaTheme="minorHAnsi" w:cstheme="minorHAnsi"/>
      <w:color w:val="544F40" w:themeColor="text1"/>
      <w:szCs w:val="52"/>
    </w:rPr>
  </w:style>
  <w:style w:type="paragraph" w:styleId="Footer">
    <w:name w:val="footer"/>
    <w:basedOn w:val="Normal"/>
    <w:link w:val="FooterChar"/>
    <w:uiPriority w:val="99"/>
    <w:unhideWhenUsed/>
    <w:rsid w:val="002942EE"/>
    <w:pPr>
      <w:tabs>
        <w:tab w:val="center" w:pos="4513"/>
        <w:tab w:val="right" w:pos="9026"/>
      </w:tabs>
    </w:pPr>
    <w:rPr>
      <w:sz w:val="15"/>
    </w:rPr>
  </w:style>
  <w:style w:type="character" w:customStyle="1" w:styleId="FooterChar">
    <w:name w:val="Footer Char"/>
    <w:basedOn w:val="DefaultParagraphFont"/>
    <w:link w:val="Footer"/>
    <w:uiPriority w:val="99"/>
    <w:rsid w:val="002942EE"/>
    <w:rPr>
      <w:rFonts w:eastAsiaTheme="minorHAnsi" w:cstheme="minorHAnsi"/>
      <w:color w:val="544F40" w:themeColor="text1"/>
      <w:sz w:val="15"/>
      <w:szCs w:val="52"/>
    </w:rPr>
  </w:style>
  <w:style w:type="paragraph" w:styleId="BalloonText">
    <w:name w:val="Balloon Text"/>
    <w:basedOn w:val="Normal"/>
    <w:link w:val="BalloonTextChar"/>
    <w:uiPriority w:val="99"/>
    <w:semiHidden/>
    <w:unhideWhenUsed/>
    <w:rsid w:val="002942EE"/>
    <w:rPr>
      <w:rFonts w:ascii="Tahoma" w:hAnsi="Tahoma" w:cs="Tahoma"/>
      <w:sz w:val="16"/>
      <w:szCs w:val="16"/>
    </w:rPr>
  </w:style>
  <w:style w:type="character" w:customStyle="1" w:styleId="BalloonTextChar">
    <w:name w:val="Balloon Text Char"/>
    <w:basedOn w:val="DefaultParagraphFont"/>
    <w:link w:val="BalloonText"/>
    <w:uiPriority w:val="99"/>
    <w:semiHidden/>
    <w:rsid w:val="002942EE"/>
    <w:rPr>
      <w:rFonts w:ascii="Tahoma" w:eastAsiaTheme="minorHAnsi" w:hAnsi="Tahoma" w:cs="Tahoma"/>
      <w:color w:val="544F40" w:themeColor="text1"/>
      <w:sz w:val="16"/>
      <w:szCs w:val="16"/>
    </w:rPr>
  </w:style>
  <w:style w:type="table" w:styleId="TableGrid">
    <w:name w:val="Table Grid"/>
    <w:basedOn w:val="TableNormal"/>
    <w:uiPriority w:val="59"/>
    <w:rsid w:val="002942EE"/>
    <w:pPr>
      <w:spacing w:before="0" w:after="0" w:line="240" w:lineRule="auto"/>
    </w:pPr>
    <w:rPr>
      <w:rFonts w:eastAsiaTheme="minorHAnsi" w:cstheme="minorHAnsi"/>
      <w:color w:val="544F40" w:themeColor="text1"/>
      <w:szCs w:val="5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A6ACE"/>
    <w:rPr>
      <w:rFonts w:asciiTheme="minorHAnsi" w:hAnsiTheme="minorHAnsi"/>
      <w:b/>
      <w:bCs/>
      <w:lang w:eastAsia="en-US"/>
    </w:rPr>
  </w:style>
  <w:style w:type="character" w:customStyle="1" w:styleId="CommentTextChar">
    <w:name w:val="Comment Text Char"/>
    <w:basedOn w:val="DefaultParagraphFont"/>
    <w:link w:val="CommentText"/>
    <w:uiPriority w:val="99"/>
    <w:semiHidden/>
    <w:rsid w:val="00DA6ACE"/>
    <w:rPr>
      <w:rFonts w:ascii="Times New Roman" w:hAnsi="Times New Roman"/>
      <w:sz w:val="20"/>
      <w:szCs w:val="20"/>
      <w:lang w:eastAsia="en-GB"/>
    </w:rPr>
  </w:style>
  <w:style w:type="character" w:customStyle="1" w:styleId="CommentSubjectChar">
    <w:name w:val="Comment Subject Char"/>
    <w:basedOn w:val="CommentTextChar"/>
    <w:link w:val="CommentSubject"/>
    <w:uiPriority w:val="99"/>
    <w:semiHidden/>
    <w:rsid w:val="00DA6ACE"/>
    <w:rPr>
      <w:rFonts w:ascii="Times New Roman" w:hAnsi="Times New Roman"/>
      <w:b/>
      <w:bCs/>
      <w:sz w:val="20"/>
      <w:szCs w:val="20"/>
      <w:lang w:eastAsia="en-GB"/>
    </w:rPr>
  </w:style>
  <w:style w:type="character" w:styleId="UnresolvedMention">
    <w:name w:val="Unresolved Mention"/>
    <w:basedOn w:val="DefaultParagraphFont"/>
    <w:uiPriority w:val="99"/>
    <w:semiHidden/>
    <w:unhideWhenUsed/>
    <w:rsid w:val="00C638EF"/>
    <w:rPr>
      <w:color w:val="605E5C"/>
      <w:shd w:val="clear" w:color="auto" w:fill="E1DFDD"/>
    </w:rPr>
  </w:style>
  <w:style w:type="paragraph" w:customStyle="1" w:styleId="Primarypageheading">
    <w:name w:val="Primary page heading"/>
    <w:qFormat/>
    <w:rsid w:val="002942EE"/>
    <w:pPr>
      <w:spacing w:before="0" w:after="0" w:line="240" w:lineRule="auto"/>
    </w:pPr>
    <w:rPr>
      <w:rFonts w:asciiTheme="majorHAnsi" w:eastAsiaTheme="minorHAnsi" w:hAnsiTheme="majorHAnsi" w:cstheme="minorHAnsi"/>
      <w:b/>
      <w:color w:val="F36633" w:themeColor="accent1"/>
      <w:sz w:val="26"/>
      <w:szCs w:val="26"/>
    </w:rPr>
  </w:style>
  <w:style w:type="paragraph" w:customStyle="1" w:styleId="Supportingpageheading">
    <w:name w:val="Supporting page heading"/>
    <w:qFormat/>
    <w:rsid w:val="002942EE"/>
    <w:pPr>
      <w:spacing w:before="0" w:after="0" w:line="240" w:lineRule="auto"/>
    </w:pPr>
    <w:rPr>
      <w:rFonts w:ascii="Georgia" w:eastAsiaTheme="minorHAnsi" w:hAnsi="Georgia" w:cstheme="minorHAnsi"/>
      <w:i/>
      <w:color w:val="544F40" w:themeColor="text1"/>
      <w:sz w:val="26"/>
      <w:szCs w:val="26"/>
    </w:rPr>
  </w:style>
  <w:style w:type="paragraph" w:customStyle="1" w:styleId="Primarycoverheading">
    <w:name w:val="Primary cover heading"/>
    <w:qFormat/>
    <w:rsid w:val="002942EE"/>
    <w:pPr>
      <w:spacing w:before="0" w:after="0" w:line="240" w:lineRule="auto"/>
    </w:pPr>
    <w:rPr>
      <w:rFonts w:asciiTheme="majorHAnsi" w:eastAsiaTheme="minorHAnsi" w:hAnsiTheme="majorHAnsi" w:cstheme="minorHAnsi"/>
      <w:b/>
      <w:color w:val="F36633" w:themeColor="accent1"/>
      <w:sz w:val="52"/>
      <w:szCs w:val="52"/>
    </w:rPr>
  </w:style>
  <w:style w:type="paragraph" w:customStyle="1" w:styleId="Supportingcoverheading">
    <w:name w:val="Supporting cover heading"/>
    <w:qFormat/>
    <w:rsid w:val="002942EE"/>
    <w:pPr>
      <w:spacing w:before="0" w:after="0" w:line="240" w:lineRule="auto"/>
    </w:pPr>
    <w:rPr>
      <w:rFonts w:ascii="Georgia" w:eastAsiaTheme="minorHAnsi" w:hAnsi="Georgia" w:cstheme="minorHAnsi"/>
      <w:i/>
      <w:color w:val="544F40" w:themeColor="accent2"/>
      <w:sz w:val="52"/>
      <w:szCs w:val="52"/>
    </w:rPr>
  </w:style>
  <w:style w:type="paragraph" w:customStyle="1" w:styleId="Bodyheading">
    <w:name w:val="Body heading"/>
    <w:qFormat/>
    <w:rsid w:val="002942EE"/>
    <w:pPr>
      <w:spacing w:before="0" w:after="0" w:line="240" w:lineRule="auto"/>
    </w:pPr>
    <w:rPr>
      <w:rFonts w:asciiTheme="majorHAnsi" w:eastAsiaTheme="minorHAnsi" w:hAnsiTheme="majorHAnsi" w:cstheme="majorHAnsi"/>
      <w:b/>
      <w:color w:val="F36633" w:themeColor="accent1"/>
      <w:szCs w:val="52"/>
    </w:rPr>
  </w:style>
  <w:style w:type="paragraph" w:customStyle="1" w:styleId="Bodysubheading">
    <w:name w:val="Body subheading"/>
    <w:qFormat/>
    <w:rsid w:val="002942EE"/>
    <w:pPr>
      <w:spacing w:before="0" w:after="0" w:line="240" w:lineRule="auto"/>
    </w:pPr>
    <w:rPr>
      <w:rFonts w:asciiTheme="majorHAnsi" w:eastAsiaTheme="minorHAnsi" w:hAnsiTheme="majorHAnsi" w:cstheme="majorHAnsi"/>
      <w:b/>
      <w:color w:val="544F40" w:themeColor="text1"/>
      <w:szCs w:val="52"/>
    </w:rPr>
  </w:style>
  <w:style w:type="paragraph" w:customStyle="1" w:styleId="Bodycopy">
    <w:name w:val="Body copy"/>
    <w:qFormat/>
    <w:rsid w:val="002942EE"/>
    <w:pPr>
      <w:spacing w:before="0" w:after="0" w:line="240" w:lineRule="auto"/>
    </w:pPr>
    <w:rPr>
      <w:rFonts w:eastAsiaTheme="minorHAnsi" w:cstheme="minorHAnsi"/>
      <w:color w:val="544F40" w:themeColor="text1"/>
      <w:szCs w:val="52"/>
    </w:rPr>
  </w:style>
  <w:style w:type="paragraph" w:customStyle="1" w:styleId="Bulletedtextlevel1">
    <w:name w:val="Bulleted text level 1"/>
    <w:basedOn w:val="Bodycopy"/>
    <w:qFormat/>
    <w:rsid w:val="002942EE"/>
    <w:pPr>
      <w:numPr>
        <w:numId w:val="1"/>
      </w:numPr>
      <w:spacing w:after="60"/>
      <w:ind w:left="227" w:hanging="227"/>
      <w:contextualSpacing/>
    </w:pPr>
  </w:style>
  <w:style w:type="paragraph" w:customStyle="1" w:styleId="Bulletedtextlevel2">
    <w:name w:val="Bulleted text level 2"/>
    <w:basedOn w:val="Bulletedtextlevel1"/>
    <w:qFormat/>
    <w:rsid w:val="002942EE"/>
    <w:pPr>
      <w:ind w:left="476" w:hanging="238"/>
    </w:pPr>
  </w:style>
  <w:style w:type="paragraph" w:customStyle="1" w:styleId="Legalcopy">
    <w:name w:val="Legal copy"/>
    <w:qFormat/>
    <w:rsid w:val="002942EE"/>
    <w:pPr>
      <w:spacing w:before="0" w:after="0" w:line="240" w:lineRule="auto"/>
    </w:pPr>
    <w:rPr>
      <w:rFonts w:eastAsiaTheme="minorHAnsi" w:cstheme="minorHAnsi"/>
      <w:color w:val="544F40" w:themeColor="text1"/>
      <w:sz w:val="15"/>
      <w:szCs w:val="15"/>
    </w:rPr>
  </w:style>
  <w:style w:type="paragraph" w:customStyle="1" w:styleId="Bulletedtextlevel3">
    <w:name w:val="Bulleted text level 3"/>
    <w:basedOn w:val="Bulletedtextlevel2"/>
    <w:qFormat/>
    <w:rsid w:val="002942EE"/>
    <w:pPr>
      <w:ind w:left="726"/>
    </w:pPr>
  </w:style>
  <w:style w:type="numbering" w:customStyle="1" w:styleId="Style1">
    <w:name w:val="Style1"/>
    <w:uiPriority w:val="99"/>
    <w:rsid w:val="002942EE"/>
    <w:pPr>
      <w:numPr>
        <w:numId w:val="3"/>
      </w:numPr>
    </w:pPr>
  </w:style>
  <w:style w:type="table" w:customStyle="1" w:styleId="GSKtablestyle1">
    <w:name w:val="GSK table style 1"/>
    <w:basedOn w:val="TableNormal"/>
    <w:uiPriority w:val="99"/>
    <w:rsid w:val="002942EE"/>
    <w:pPr>
      <w:spacing w:before="0" w:after="0" w:line="240" w:lineRule="auto"/>
    </w:pPr>
    <w:rPr>
      <w:rFonts w:eastAsiaTheme="minorHAnsi" w:cstheme="minorHAnsi"/>
      <w:color w:val="544F40" w:themeColor="text1"/>
    </w:rPr>
    <w:tblPr>
      <w:tblStyleRowBandSize w:val="1"/>
      <w:tblBorders>
        <w:insideH w:val="single" w:sz="4" w:space="0" w:color="544F40" w:themeColor="text1"/>
      </w:tblBorders>
      <w:tblCellMar>
        <w:top w:w="57" w:type="dxa"/>
        <w:bottom w:w="57" w:type="dxa"/>
      </w:tblCellMar>
    </w:tblPr>
    <w:tblStylePr w:type="firstRow">
      <w:pPr>
        <w:wordWrap/>
        <w:spacing w:beforeLines="0" w:before="20" w:beforeAutospacing="0" w:afterLines="0" w:after="20" w:afterAutospacing="0" w:line="240" w:lineRule="auto"/>
        <w:jc w:val="left"/>
      </w:pPr>
      <w:rPr>
        <w:rFonts w:asciiTheme="majorHAnsi" w:hAnsiTheme="majorHAnsi"/>
        <w:b/>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36633" w:themeFill="accent1"/>
      </w:tcPr>
    </w:tblStylePr>
    <w:tblStylePr w:type="lastRow">
      <w:rPr>
        <w:rFonts w:asciiTheme="majorHAnsi" w:hAnsiTheme="majorHAnsi"/>
        <w:b/>
        <w:caps w:val="0"/>
        <w:smallCaps w:val="0"/>
        <w:strike w:val="0"/>
        <w:dstrike w:val="0"/>
        <w:vanish w:val="0"/>
        <w:color w:val="FFFFFF" w:themeColor="background1"/>
        <w:sz w:val="20"/>
        <w:u w:val="none"/>
        <w:vertAlign w:val="baseline"/>
      </w:rPr>
      <w:tblPr/>
      <w:tcPr>
        <w:tcBorders>
          <w:top w:val="nil"/>
          <w:left w:val="nil"/>
          <w:bottom w:val="nil"/>
          <w:right w:val="nil"/>
          <w:insideH w:val="nil"/>
          <w:insideV w:val="nil"/>
          <w:tl2br w:val="nil"/>
          <w:tr2bl w:val="nil"/>
        </w:tcBorders>
        <w:shd w:val="solid" w:color="auto" w:fill="544F40" w:themeFill="text1"/>
      </w:tcPr>
    </w:tblStylePr>
    <w:tblStylePr w:type="band1Horz">
      <w:pPr>
        <w:wordWrap/>
        <w:spacing w:beforeLines="0" w:before="20" w:beforeAutospacing="0" w:afterLines="0" w:after="20" w:afterAutospacing="0" w:line="240" w:lineRule="auto"/>
        <w:jc w:val="left"/>
      </w:pPr>
      <w:rPr>
        <w:rFonts w:ascii="Arial" w:hAnsi="Arial"/>
        <w:color w:val="544F40" w:themeColor="text1"/>
        <w:sz w:val="20"/>
      </w:rPr>
      <w:tblPr/>
      <w:tcPr>
        <w:tcBorders>
          <w:top w:val="nil"/>
          <w:left w:val="nil"/>
          <w:bottom w:val="single" w:sz="4" w:space="0" w:color="544F40" w:themeColor="text1"/>
          <w:right w:val="nil"/>
          <w:insideV w:val="nil"/>
        </w:tcBorders>
        <w:vAlign w:val="top"/>
      </w:tcPr>
    </w:tblStylePr>
    <w:tblStylePr w:type="band2Horz">
      <w:pPr>
        <w:wordWrap/>
        <w:spacing w:beforeLines="0" w:before="20" w:beforeAutospacing="0" w:afterLines="0" w:after="20" w:afterAutospacing="0" w:line="240" w:lineRule="auto"/>
        <w:jc w:val="left"/>
      </w:pPr>
      <w:rPr>
        <w:rFonts w:ascii="Arial" w:hAnsi="Arial"/>
        <w:color w:val="544F40" w:themeColor="text1"/>
        <w:sz w:val="20"/>
      </w:rPr>
      <w:tblPr/>
      <w:tcPr>
        <w:tcBorders>
          <w:top w:val="nil"/>
          <w:left w:val="nil"/>
          <w:bottom w:val="single" w:sz="4" w:space="0" w:color="544F40" w:themeColor="text1"/>
          <w:right w:val="nil"/>
          <w:insideH w:val="nil"/>
          <w:insideV w:val="nil"/>
          <w:tl2br w:val="nil"/>
          <w:tr2bl w:val="nil"/>
        </w:tcBorders>
        <w:vAlign w:val="top"/>
      </w:tcPr>
    </w:tblStylePr>
  </w:style>
  <w:style w:type="table" w:styleId="MediumGrid3-Accent1">
    <w:name w:val="Medium Grid 3 Accent 1"/>
    <w:basedOn w:val="TableNormal"/>
    <w:uiPriority w:val="69"/>
    <w:rsid w:val="002942EE"/>
    <w:pPr>
      <w:spacing w:before="0" w:after="0" w:line="240" w:lineRule="auto"/>
    </w:pPr>
    <w:rPr>
      <w:rFonts w:eastAsiaTheme="minorHAnsi" w:cstheme="minorHAnsi"/>
      <w:color w:val="544F40" w:themeColor="text1"/>
      <w:szCs w:val="5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8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66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66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66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66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29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299" w:themeFill="accent1" w:themeFillTint="7F"/>
      </w:tcPr>
    </w:tblStylePr>
  </w:style>
  <w:style w:type="table" w:customStyle="1" w:styleId="GSKtablestyle2">
    <w:name w:val="GSK table style 2"/>
    <w:basedOn w:val="GSKtablestyle1"/>
    <w:uiPriority w:val="99"/>
    <w:rsid w:val="002942EE"/>
    <w:tblPr/>
    <w:tblStylePr w:type="firstRow">
      <w:pPr>
        <w:wordWrap/>
        <w:spacing w:beforeLines="0" w:before="20" w:beforeAutospacing="0" w:afterLines="0" w:after="20" w:afterAutospacing="0" w:line="240" w:lineRule="auto"/>
        <w:jc w:val="left"/>
      </w:pPr>
      <w:rPr>
        <w:rFonts w:asciiTheme="majorHAnsi" w:hAnsiTheme="majorHAnsi"/>
        <w:b/>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36633" w:themeFill="accent1"/>
      </w:tcPr>
    </w:tblStylePr>
    <w:tblStylePr w:type="lastRow">
      <w:rPr>
        <w:rFonts w:asciiTheme="majorHAnsi" w:hAnsiTheme="majorHAnsi"/>
        <w:b/>
        <w:caps w:val="0"/>
        <w:smallCaps w:val="0"/>
        <w:strike w:val="0"/>
        <w:dstrike w:val="0"/>
        <w:vanish w:val="0"/>
        <w:color w:val="FFFFFF" w:themeColor="background1"/>
        <w:sz w:val="20"/>
        <w:u w:val="none"/>
        <w:vertAlign w:val="baseline"/>
      </w:rPr>
      <w:tblPr/>
      <w:tcPr>
        <w:tcBorders>
          <w:top w:val="nil"/>
          <w:left w:val="nil"/>
          <w:bottom w:val="nil"/>
          <w:right w:val="nil"/>
          <w:insideH w:val="nil"/>
          <w:insideV w:val="nil"/>
          <w:tl2br w:val="nil"/>
          <w:tr2bl w:val="nil"/>
        </w:tcBorders>
        <w:shd w:val="solid" w:color="auto" w:fill="544F40" w:themeFill="text1"/>
      </w:tcPr>
    </w:tblStylePr>
    <w:tblStylePr w:type="band1Horz">
      <w:pPr>
        <w:wordWrap/>
        <w:spacing w:beforeLines="0" w:before="20" w:beforeAutospacing="0" w:afterLines="0" w:after="20" w:afterAutospacing="0" w:line="240" w:lineRule="auto"/>
        <w:jc w:val="left"/>
      </w:pPr>
      <w:rPr>
        <w:rFonts w:ascii="Arial" w:hAnsi="Arial"/>
        <w:color w:val="544F40" w:themeColor="text1"/>
        <w:sz w:val="20"/>
      </w:rPr>
      <w:tblPr/>
      <w:tcPr>
        <w:tcBorders>
          <w:top w:val="nil"/>
          <w:left w:val="nil"/>
          <w:bottom w:val="single" w:sz="4" w:space="0" w:color="544F40" w:themeColor="text1"/>
          <w:right w:val="nil"/>
          <w:insideV w:val="nil"/>
        </w:tcBorders>
        <w:shd w:val="clear" w:color="auto" w:fill="008A00" w:themeFill="accent3"/>
        <w:vAlign w:val="top"/>
      </w:tcPr>
    </w:tblStylePr>
    <w:tblStylePr w:type="band2Horz">
      <w:pPr>
        <w:wordWrap/>
        <w:spacing w:beforeLines="0" w:before="20" w:beforeAutospacing="0" w:afterLines="0" w:after="20" w:afterAutospacing="0" w:line="240" w:lineRule="auto"/>
        <w:jc w:val="left"/>
      </w:pPr>
      <w:rPr>
        <w:rFonts w:ascii="Arial" w:hAnsi="Arial"/>
        <w:color w:val="544F40" w:themeColor="text1"/>
        <w:sz w:val="20"/>
      </w:rPr>
      <w:tblPr/>
      <w:tcPr>
        <w:tcBorders>
          <w:top w:val="nil"/>
          <w:left w:val="nil"/>
          <w:bottom w:val="single" w:sz="4" w:space="0" w:color="544F40" w:themeColor="text1"/>
          <w:right w:val="nil"/>
          <w:insideH w:val="nil"/>
          <w:insideV w:val="nil"/>
          <w:tl2br w:val="nil"/>
          <w:tr2bl w:val="nil"/>
        </w:tcBorders>
        <w:vAlign w:val="top"/>
      </w:tcPr>
    </w:tblStylePr>
  </w:style>
  <w:style w:type="table" w:customStyle="1" w:styleId="GSKtablestyle3">
    <w:name w:val="GSK table style 3"/>
    <w:basedOn w:val="TableGrid1"/>
    <w:uiPriority w:val="99"/>
    <w:rsid w:val="002942EE"/>
    <w:rPr>
      <w:lang w:eastAsia="en-GB"/>
    </w:rPr>
    <w:tblPr>
      <w:tblBorders>
        <w:top w:val="none" w:sz="0" w:space="0" w:color="auto"/>
        <w:left w:val="none" w:sz="0" w:space="0" w:color="auto"/>
        <w:bottom w:val="none" w:sz="0" w:space="0" w:color="auto"/>
        <w:right w:val="none" w:sz="0" w:space="0" w:color="auto"/>
        <w:insideH w:val="single" w:sz="4" w:space="0" w:color="544F40" w:themeColor="text1"/>
        <w:insideV w:val="none" w:sz="0" w:space="0" w:color="auto"/>
      </w:tblBorders>
    </w:tblPr>
    <w:tcPr>
      <w:shd w:val="clear" w:color="auto" w:fill="auto"/>
      <w:tcMar>
        <w:top w:w="57" w:type="dxa"/>
        <w:bottom w:w="57" w:type="dxa"/>
      </w:tcMar>
    </w:tcPr>
    <w:tblStylePr w:type="firstRow">
      <w:rPr>
        <w:rFonts w:asciiTheme="majorHAnsi" w:hAnsiTheme="majorHAnsi"/>
        <w:b/>
        <w:color w:val="F36633" w:themeColor="accent1"/>
        <w:sz w:val="20"/>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942EE"/>
    <w:pPr>
      <w:spacing w:before="0" w:after="0" w:line="240" w:lineRule="auto"/>
    </w:pPr>
    <w:rPr>
      <w:rFonts w:eastAsiaTheme="minorHAnsi" w:cstheme="minorHAnsi"/>
      <w:szCs w:val="5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Imagecaption">
    <w:name w:val="Image caption"/>
    <w:qFormat/>
    <w:rsid w:val="002942EE"/>
    <w:pPr>
      <w:spacing w:after="0" w:line="240" w:lineRule="auto"/>
    </w:pPr>
    <w:rPr>
      <w:rFonts w:eastAsiaTheme="minorHAnsi" w:cstheme="minorHAnsi"/>
      <w:color w:val="F36633" w:themeColor="accent1"/>
      <w:sz w:val="16"/>
      <w:szCs w:val="52"/>
    </w:rPr>
  </w:style>
  <w:style w:type="paragraph" w:styleId="Revision">
    <w:name w:val="Revision"/>
    <w:hidden/>
    <w:uiPriority w:val="99"/>
    <w:semiHidden/>
    <w:rsid w:val="009E109E"/>
    <w:pPr>
      <w:spacing w:after="0" w:line="240" w:lineRule="auto"/>
    </w:pPr>
  </w:style>
  <w:style w:type="paragraph" w:customStyle="1" w:styleId="Strictlyconfidential">
    <w:name w:val="Strictly confidential"/>
    <w:qFormat/>
    <w:rsid w:val="002942EE"/>
    <w:pPr>
      <w:spacing w:before="0" w:line="640" w:lineRule="exact"/>
    </w:pPr>
    <w:rPr>
      <w:rFonts w:eastAsiaTheme="minorHAnsi"/>
      <w:color w:val="544F40" w:themeColor="text1"/>
      <w:sz w:val="40"/>
      <w:szCs w:val="64"/>
    </w:rPr>
  </w:style>
  <w:style w:type="character" w:customStyle="1" w:styleId="Heading4Char">
    <w:name w:val="Heading 4 Char"/>
    <w:basedOn w:val="DefaultParagraphFont"/>
    <w:link w:val="Heading4"/>
    <w:uiPriority w:val="9"/>
    <w:rsid w:val="00A234C4"/>
    <w:rPr>
      <w:caps/>
      <w:color w:val="CF3F0C" w:themeColor="accent1" w:themeShade="BF"/>
      <w:spacing w:val="10"/>
    </w:rPr>
  </w:style>
  <w:style w:type="character" w:customStyle="1" w:styleId="Heading5Char">
    <w:name w:val="Heading 5 Char"/>
    <w:basedOn w:val="DefaultParagraphFont"/>
    <w:link w:val="Heading5"/>
    <w:uiPriority w:val="9"/>
    <w:semiHidden/>
    <w:rsid w:val="00A234C4"/>
    <w:rPr>
      <w:caps/>
      <w:color w:val="CF3F0C" w:themeColor="accent1" w:themeShade="BF"/>
      <w:spacing w:val="10"/>
    </w:rPr>
  </w:style>
  <w:style w:type="character" w:customStyle="1" w:styleId="Heading6Char">
    <w:name w:val="Heading 6 Char"/>
    <w:basedOn w:val="DefaultParagraphFont"/>
    <w:link w:val="Heading6"/>
    <w:uiPriority w:val="9"/>
    <w:semiHidden/>
    <w:rsid w:val="00A234C4"/>
    <w:rPr>
      <w:caps/>
      <w:color w:val="CF3F0C" w:themeColor="accent1" w:themeShade="BF"/>
      <w:spacing w:val="10"/>
    </w:rPr>
  </w:style>
  <w:style w:type="character" w:customStyle="1" w:styleId="Heading7Char">
    <w:name w:val="Heading 7 Char"/>
    <w:basedOn w:val="DefaultParagraphFont"/>
    <w:link w:val="Heading7"/>
    <w:uiPriority w:val="9"/>
    <w:semiHidden/>
    <w:rsid w:val="00A234C4"/>
    <w:rPr>
      <w:caps/>
      <w:color w:val="CF3F0C" w:themeColor="accent1" w:themeShade="BF"/>
      <w:spacing w:val="10"/>
    </w:rPr>
  </w:style>
  <w:style w:type="character" w:customStyle="1" w:styleId="Heading8Char">
    <w:name w:val="Heading 8 Char"/>
    <w:basedOn w:val="DefaultParagraphFont"/>
    <w:link w:val="Heading8"/>
    <w:uiPriority w:val="9"/>
    <w:semiHidden/>
    <w:rsid w:val="00A234C4"/>
    <w:rPr>
      <w:caps/>
      <w:spacing w:val="10"/>
      <w:sz w:val="18"/>
      <w:szCs w:val="18"/>
    </w:rPr>
  </w:style>
  <w:style w:type="character" w:customStyle="1" w:styleId="Heading9Char">
    <w:name w:val="Heading 9 Char"/>
    <w:basedOn w:val="DefaultParagraphFont"/>
    <w:link w:val="Heading9"/>
    <w:uiPriority w:val="9"/>
    <w:semiHidden/>
    <w:rsid w:val="00A234C4"/>
    <w:rPr>
      <w:i/>
      <w:iCs/>
      <w:caps/>
      <w:spacing w:val="10"/>
      <w:sz w:val="18"/>
      <w:szCs w:val="18"/>
    </w:rPr>
  </w:style>
  <w:style w:type="paragraph" w:styleId="Caption">
    <w:name w:val="caption"/>
    <w:basedOn w:val="Normal"/>
    <w:next w:val="Normal"/>
    <w:uiPriority w:val="35"/>
    <w:semiHidden/>
    <w:unhideWhenUsed/>
    <w:qFormat/>
    <w:rsid w:val="00A234C4"/>
    <w:rPr>
      <w:b/>
      <w:bCs/>
      <w:color w:val="CF3F0C" w:themeColor="accent1" w:themeShade="BF"/>
      <w:sz w:val="16"/>
      <w:szCs w:val="16"/>
    </w:rPr>
  </w:style>
  <w:style w:type="paragraph" w:styleId="Subtitle">
    <w:name w:val="Subtitle"/>
    <w:basedOn w:val="Normal"/>
    <w:next w:val="Normal"/>
    <w:link w:val="SubtitleChar"/>
    <w:uiPriority w:val="11"/>
    <w:qFormat/>
    <w:rsid w:val="00A234C4"/>
    <w:pPr>
      <w:spacing w:after="500"/>
    </w:pPr>
    <w:rPr>
      <w:caps/>
      <w:color w:val="999179" w:themeColor="text1" w:themeTint="A6"/>
      <w:spacing w:val="10"/>
      <w:sz w:val="21"/>
      <w:szCs w:val="21"/>
    </w:rPr>
  </w:style>
  <w:style w:type="character" w:customStyle="1" w:styleId="SubtitleChar">
    <w:name w:val="Subtitle Char"/>
    <w:basedOn w:val="DefaultParagraphFont"/>
    <w:link w:val="Subtitle"/>
    <w:uiPriority w:val="11"/>
    <w:rsid w:val="00A234C4"/>
    <w:rPr>
      <w:caps/>
      <w:color w:val="999179" w:themeColor="text1" w:themeTint="A6"/>
      <w:spacing w:val="10"/>
      <w:sz w:val="21"/>
      <w:szCs w:val="21"/>
    </w:rPr>
  </w:style>
  <w:style w:type="character" w:styleId="Strong">
    <w:name w:val="Strong"/>
    <w:uiPriority w:val="22"/>
    <w:qFormat/>
    <w:rsid w:val="00A234C4"/>
    <w:rPr>
      <w:b/>
      <w:bCs/>
    </w:rPr>
  </w:style>
  <w:style w:type="character" w:styleId="Emphasis">
    <w:name w:val="Emphasis"/>
    <w:uiPriority w:val="20"/>
    <w:qFormat/>
    <w:rsid w:val="00A234C4"/>
    <w:rPr>
      <w:caps/>
      <w:color w:val="8A2A08" w:themeColor="accent1" w:themeShade="7F"/>
      <w:spacing w:val="5"/>
    </w:rPr>
  </w:style>
  <w:style w:type="paragraph" w:styleId="NoSpacing">
    <w:name w:val="No Spacing"/>
    <w:uiPriority w:val="1"/>
    <w:qFormat/>
    <w:rsid w:val="00A234C4"/>
    <w:pPr>
      <w:spacing w:after="0" w:line="240" w:lineRule="auto"/>
    </w:pPr>
  </w:style>
  <w:style w:type="paragraph" w:styleId="Quote">
    <w:name w:val="Quote"/>
    <w:basedOn w:val="Normal"/>
    <w:next w:val="Normal"/>
    <w:link w:val="QuoteChar"/>
    <w:uiPriority w:val="29"/>
    <w:qFormat/>
    <w:rsid w:val="00A234C4"/>
    <w:rPr>
      <w:i/>
      <w:iCs/>
      <w:sz w:val="24"/>
      <w:szCs w:val="24"/>
    </w:rPr>
  </w:style>
  <w:style w:type="character" w:customStyle="1" w:styleId="QuoteChar">
    <w:name w:val="Quote Char"/>
    <w:basedOn w:val="DefaultParagraphFont"/>
    <w:link w:val="Quote"/>
    <w:uiPriority w:val="29"/>
    <w:rsid w:val="00A234C4"/>
    <w:rPr>
      <w:i/>
      <w:iCs/>
      <w:sz w:val="24"/>
      <w:szCs w:val="24"/>
    </w:rPr>
  </w:style>
  <w:style w:type="paragraph" w:styleId="IntenseQuote">
    <w:name w:val="Intense Quote"/>
    <w:basedOn w:val="Normal"/>
    <w:next w:val="Normal"/>
    <w:link w:val="IntenseQuoteChar"/>
    <w:uiPriority w:val="30"/>
    <w:qFormat/>
    <w:rsid w:val="00A234C4"/>
    <w:pPr>
      <w:spacing w:before="240" w:after="240"/>
      <w:ind w:left="1080" w:right="1080"/>
      <w:jc w:val="center"/>
    </w:pPr>
    <w:rPr>
      <w:color w:val="F36633" w:themeColor="accent1"/>
      <w:sz w:val="24"/>
      <w:szCs w:val="24"/>
    </w:rPr>
  </w:style>
  <w:style w:type="character" w:customStyle="1" w:styleId="IntenseQuoteChar">
    <w:name w:val="Intense Quote Char"/>
    <w:basedOn w:val="DefaultParagraphFont"/>
    <w:link w:val="IntenseQuote"/>
    <w:uiPriority w:val="30"/>
    <w:rsid w:val="00A234C4"/>
    <w:rPr>
      <w:color w:val="F36633" w:themeColor="accent1"/>
      <w:sz w:val="24"/>
      <w:szCs w:val="24"/>
    </w:rPr>
  </w:style>
  <w:style w:type="character" w:styleId="SubtleEmphasis">
    <w:name w:val="Subtle Emphasis"/>
    <w:uiPriority w:val="19"/>
    <w:qFormat/>
    <w:rsid w:val="00A234C4"/>
    <w:rPr>
      <w:i/>
      <w:iCs/>
      <w:color w:val="8A2A08" w:themeColor="accent1" w:themeShade="7F"/>
    </w:rPr>
  </w:style>
  <w:style w:type="character" w:styleId="IntenseEmphasis">
    <w:name w:val="Intense Emphasis"/>
    <w:uiPriority w:val="21"/>
    <w:qFormat/>
    <w:rsid w:val="00A234C4"/>
    <w:rPr>
      <w:b/>
      <w:bCs/>
      <w:caps/>
      <w:color w:val="8A2A08" w:themeColor="accent1" w:themeShade="7F"/>
      <w:spacing w:val="10"/>
    </w:rPr>
  </w:style>
  <w:style w:type="character" w:styleId="SubtleReference">
    <w:name w:val="Subtle Reference"/>
    <w:uiPriority w:val="31"/>
    <w:qFormat/>
    <w:rsid w:val="00A234C4"/>
    <w:rPr>
      <w:b/>
      <w:bCs/>
      <w:color w:val="F36633" w:themeColor="accent1"/>
    </w:rPr>
  </w:style>
  <w:style w:type="character" w:styleId="IntenseReference">
    <w:name w:val="Intense Reference"/>
    <w:uiPriority w:val="32"/>
    <w:qFormat/>
    <w:rsid w:val="00A234C4"/>
    <w:rPr>
      <w:b/>
      <w:bCs/>
      <w:i/>
      <w:iCs/>
      <w:caps/>
      <w:color w:val="F36633" w:themeColor="accent1"/>
    </w:rPr>
  </w:style>
  <w:style w:type="character" w:styleId="BookTitle">
    <w:name w:val="Book Title"/>
    <w:uiPriority w:val="33"/>
    <w:qFormat/>
    <w:rsid w:val="00A234C4"/>
    <w:rPr>
      <w:b/>
      <w:bCs/>
      <w:i/>
      <w:iCs/>
      <w:spacing w:val="0"/>
    </w:rPr>
  </w:style>
  <w:style w:type="paragraph" w:customStyle="1" w:styleId="TOCHeader">
    <w:name w:val="TOC Header"/>
    <w:basedOn w:val="Normal"/>
    <w:next w:val="Normal"/>
    <w:link w:val="TOCHeaderChar"/>
    <w:qFormat/>
    <w:rsid w:val="00C05C0E"/>
    <w:pPr>
      <w:pBdr>
        <w:bottom w:val="single" w:sz="8" w:space="1" w:color="07A9A5"/>
      </w:pBdr>
    </w:pPr>
    <w:rPr>
      <w:rFonts w:ascii="Calibri" w:hAnsi="Calibri" w:cs="Calibri"/>
      <w:b/>
      <w:color w:val="198897"/>
      <w:sz w:val="28"/>
      <w:szCs w:val="22"/>
    </w:rPr>
  </w:style>
  <w:style w:type="character" w:customStyle="1" w:styleId="TOCHeaderChar">
    <w:name w:val="TOC Header Char"/>
    <w:basedOn w:val="DefaultParagraphFont"/>
    <w:link w:val="TOCHeader"/>
    <w:rsid w:val="00C05C0E"/>
    <w:rPr>
      <w:rFonts w:ascii="Calibri" w:eastAsiaTheme="minorHAnsi" w:hAnsi="Calibri" w:cs="Calibri"/>
      <w:b/>
      <w:color w:val="198897"/>
      <w:sz w:val="28"/>
      <w:szCs w:val="22"/>
    </w:rPr>
  </w:style>
  <w:style w:type="paragraph" w:customStyle="1" w:styleId="TOC-Sub">
    <w:name w:val="TOC- Sub"/>
    <w:basedOn w:val="Normal"/>
    <w:next w:val="Normal"/>
    <w:link w:val="TOC-SubChar"/>
    <w:qFormat/>
    <w:rsid w:val="00C05C0E"/>
    <w:pPr>
      <w:spacing w:before="200"/>
    </w:pPr>
    <w:rPr>
      <w:rFonts w:ascii="Calibri" w:hAnsi="Calibri" w:cs="Calibri"/>
      <w:b/>
      <w:color w:val="3E3A30" w:themeColor="text1" w:themeShade="BF"/>
      <w:spacing w:val="10"/>
      <w:sz w:val="22"/>
      <w:szCs w:val="22"/>
    </w:rPr>
  </w:style>
  <w:style w:type="character" w:customStyle="1" w:styleId="TOC-SubChar">
    <w:name w:val="TOC- Sub Char"/>
    <w:basedOn w:val="DefaultParagraphFont"/>
    <w:link w:val="TOC-Sub"/>
    <w:rsid w:val="00C05C0E"/>
    <w:rPr>
      <w:rFonts w:ascii="Calibri" w:eastAsiaTheme="minorHAnsi" w:hAnsi="Calibri" w:cs="Calibri"/>
      <w:b/>
      <w:color w:val="3E3A30" w:themeColor="text1" w:themeShade="BF"/>
      <w:spacing w:val="10"/>
      <w:sz w:val="22"/>
      <w:szCs w:val="22"/>
    </w:rPr>
  </w:style>
  <w:style w:type="paragraph" w:customStyle="1" w:styleId="pf0">
    <w:name w:val="pf0"/>
    <w:basedOn w:val="Normal"/>
    <w:rsid w:val="005A6FD8"/>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5A6FD8"/>
    <w:rPr>
      <w:rFonts w:ascii="Segoe UI" w:hAnsi="Segoe UI" w:cs="Segoe UI" w:hint="default"/>
      <w:color w:val="544F40"/>
      <w:sz w:val="18"/>
      <w:szCs w:val="18"/>
    </w:rPr>
  </w:style>
  <w:style w:type="character" w:customStyle="1" w:styleId="cf21">
    <w:name w:val="cf21"/>
    <w:basedOn w:val="DefaultParagraphFont"/>
    <w:rsid w:val="005A6FD8"/>
    <w:rPr>
      <w:rFonts w:ascii="Segoe UI" w:hAnsi="Segoe UI" w:cs="Segoe UI" w:hint="default"/>
      <w:sz w:val="18"/>
      <w:szCs w:val="18"/>
    </w:rPr>
  </w:style>
  <w:style w:type="character" w:customStyle="1" w:styleId="cf31">
    <w:name w:val="cf31"/>
    <w:basedOn w:val="DefaultParagraphFont"/>
    <w:rsid w:val="005A6FD8"/>
    <w:rPr>
      <w:rFonts w:ascii="Segoe UI" w:hAnsi="Segoe UI" w:cs="Segoe UI" w:hint="default"/>
      <w:color w:val="15717D"/>
      <w:sz w:val="18"/>
      <w:szCs w:val="18"/>
    </w:rPr>
  </w:style>
  <w:style w:type="character" w:customStyle="1" w:styleId="cf11">
    <w:name w:val="cf11"/>
    <w:basedOn w:val="DefaultParagraphFont"/>
    <w:rsid w:val="00020244"/>
    <w:rPr>
      <w:rFonts w:ascii="Segoe UI" w:hAnsi="Segoe UI" w:cs="Segoe UI" w:hint="default"/>
      <w:color w:val="544F40"/>
      <w:sz w:val="18"/>
      <w:szCs w:val="18"/>
    </w:rPr>
  </w:style>
  <w:style w:type="character" w:customStyle="1" w:styleId="legchangedelimiter">
    <w:name w:val="legchangedelimiter"/>
    <w:basedOn w:val="DefaultParagraphFont"/>
    <w:rsid w:val="00502D18"/>
  </w:style>
  <w:style w:type="character" w:customStyle="1" w:styleId="legsubstitution">
    <w:name w:val="legsubstitution"/>
    <w:basedOn w:val="DefaultParagraphFont"/>
    <w:rsid w:val="00502D18"/>
  </w:style>
  <w:style w:type="character" w:customStyle="1" w:styleId="legaddition">
    <w:name w:val="legaddition"/>
    <w:basedOn w:val="DefaultParagraphFont"/>
    <w:rsid w:val="005D5F31"/>
  </w:style>
  <w:style w:type="paragraph" w:customStyle="1" w:styleId="02-NormInd1-BB">
    <w:name w:val="02-NormInd1-BB"/>
    <w:basedOn w:val="Normal"/>
    <w:rsid w:val="005453EB"/>
    <w:pPr>
      <w:ind w:left="720"/>
      <w:jc w:val="both"/>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1360">
      <w:bodyDiv w:val="1"/>
      <w:marLeft w:val="0"/>
      <w:marRight w:val="0"/>
      <w:marTop w:val="0"/>
      <w:marBottom w:val="0"/>
      <w:divBdr>
        <w:top w:val="none" w:sz="0" w:space="0" w:color="auto"/>
        <w:left w:val="none" w:sz="0" w:space="0" w:color="auto"/>
        <w:bottom w:val="none" w:sz="0" w:space="0" w:color="auto"/>
        <w:right w:val="none" w:sz="0" w:space="0" w:color="auto"/>
      </w:divBdr>
    </w:div>
    <w:div w:id="211576556">
      <w:bodyDiv w:val="1"/>
      <w:marLeft w:val="0"/>
      <w:marRight w:val="0"/>
      <w:marTop w:val="0"/>
      <w:marBottom w:val="0"/>
      <w:divBdr>
        <w:top w:val="none" w:sz="0" w:space="0" w:color="auto"/>
        <w:left w:val="none" w:sz="0" w:space="0" w:color="auto"/>
        <w:bottom w:val="none" w:sz="0" w:space="0" w:color="auto"/>
        <w:right w:val="none" w:sz="0" w:space="0" w:color="auto"/>
      </w:divBdr>
    </w:div>
    <w:div w:id="338779221">
      <w:bodyDiv w:val="1"/>
      <w:marLeft w:val="0"/>
      <w:marRight w:val="0"/>
      <w:marTop w:val="0"/>
      <w:marBottom w:val="0"/>
      <w:divBdr>
        <w:top w:val="none" w:sz="0" w:space="0" w:color="auto"/>
        <w:left w:val="none" w:sz="0" w:space="0" w:color="auto"/>
        <w:bottom w:val="none" w:sz="0" w:space="0" w:color="auto"/>
        <w:right w:val="none" w:sz="0" w:space="0" w:color="auto"/>
      </w:divBdr>
    </w:div>
    <w:div w:id="464203978">
      <w:bodyDiv w:val="1"/>
      <w:marLeft w:val="0"/>
      <w:marRight w:val="0"/>
      <w:marTop w:val="0"/>
      <w:marBottom w:val="0"/>
      <w:divBdr>
        <w:top w:val="none" w:sz="0" w:space="0" w:color="auto"/>
        <w:left w:val="none" w:sz="0" w:space="0" w:color="auto"/>
        <w:bottom w:val="none" w:sz="0" w:space="0" w:color="auto"/>
        <w:right w:val="none" w:sz="0" w:space="0" w:color="auto"/>
      </w:divBdr>
    </w:div>
    <w:div w:id="488327745">
      <w:bodyDiv w:val="1"/>
      <w:marLeft w:val="0"/>
      <w:marRight w:val="0"/>
      <w:marTop w:val="0"/>
      <w:marBottom w:val="0"/>
      <w:divBdr>
        <w:top w:val="none" w:sz="0" w:space="0" w:color="auto"/>
        <w:left w:val="none" w:sz="0" w:space="0" w:color="auto"/>
        <w:bottom w:val="none" w:sz="0" w:space="0" w:color="auto"/>
        <w:right w:val="none" w:sz="0" w:space="0" w:color="auto"/>
      </w:divBdr>
    </w:div>
    <w:div w:id="573047363">
      <w:bodyDiv w:val="1"/>
      <w:marLeft w:val="0"/>
      <w:marRight w:val="0"/>
      <w:marTop w:val="0"/>
      <w:marBottom w:val="0"/>
      <w:divBdr>
        <w:top w:val="none" w:sz="0" w:space="0" w:color="auto"/>
        <w:left w:val="none" w:sz="0" w:space="0" w:color="auto"/>
        <w:bottom w:val="none" w:sz="0" w:space="0" w:color="auto"/>
        <w:right w:val="none" w:sz="0" w:space="0" w:color="auto"/>
      </w:divBdr>
    </w:div>
    <w:div w:id="662201586">
      <w:bodyDiv w:val="1"/>
      <w:marLeft w:val="0"/>
      <w:marRight w:val="0"/>
      <w:marTop w:val="0"/>
      <w:marBottom w:val="0"/>
      <w:divBdr>
        <w:top w:val="none" w:sz="0" w:space="0" w:color="auto"/>
        <w:left w:val="none" w:sz="0" w:space="0" w:color="auto"/>
        <w:bottom w:val="none" w:sz="0" w:space="0" w:color="auto"/>
        <w:right w:val="none" w:sz="0" w:space="0" w:color="auto"/>
      </w:divBdr>
    </w:div>
    <w:div w:id="685250945">
      <w:bodyDiv w:val="1"/>
      <w:marLeft w:val="0"/>
      <w:marRight w:val="0"/>
      <w:marTop w:val="0"/>
      <w:marBottom w:val="0"/>
      <w:divBdr>
        <w:top w:val="none" w:sz="0" w:space="0" w:color="auto"/>
        <w:left w:val="none" w:sz="0" w:space="0" w:color="auto"/>
        <w:bottom w:val="none" w:sz="0" w:space="0" w:color="auto"/>
        <w:right w:val="none" w:sz="0" w:space="0" w:color="auto"/>
      </w:divBdr>
    </w:div>
    <w:div w:id="807822673">
      <w:bodyDiv w:val="1"/>
      <w:marLeft w:val="0"/>
      <w:marRight w:val="0"/>
      <w:marTop w:val="0"/>
      <w:marBottom w:val="0"/>
      <w:divBdr>
        <w:top w:val="none" w:sz="0" w:space="0" w:color="auto"/>
        <w:left w:val="none" w:sz="0" w:space="0" w:color="auto"/>
        <w:bottom w:val="none" w:sz="0" w:space="0" w:color="auto"/>
        <w:right w:val="none" w:sz="0" w:space="0" w:color="auto"/>
      </w:divBdr>
    </w:div>
    <w:div w:id="945774790">
      <w:bodyDiv w:val="1"/>
      <w:marLeft w:val="0"/>
      <w:marRight w:val="0"/>
      <w:marTop w:val="0"/>
      <w:marBottom w:val="0"/>
      <w:divBdr>
        <w:top w:val="none" w:sz="0" w:space="0" w:color="auto"/>
        <w:left w:val="none" w:sz="0" w:space="0" w:color="auto"/>
        <w:bottom w:val="none" w:sz="0" w:space="0" w:color="auto"/>
        <w:right w:val="none" w:sz="0" w:space="0" w:color="auto"/>
      </w:divBdr>
    </w:div>
    <w:div w:id="1045910905">
      <w:bodyDiv w:val="1"/>
      <w:marLeft w:val="0"/>
      <w:marRight w:val="0"/>
      <w:marTop w:val="0"/>
      <w:marBottom w:val="0"/>
      <w:divBdr>
        <w:top w:val="none" w:sz="0" w:space="0" w:color="auto"/>
        <w:left w:val="none" w:sz="0" w:space="0" w:color="auto"/>
        <w:bottom w:val="none" w:sz="0" w:space="0" w:color="auto"/>
        <w:right w:val="none" w:sz="0" w:space="0" w:color="auto"/>
      </w:divBdr>
    </w:div>
    <w:div w:id="1083181329">
      <w:bodyDiv w:val="1"/>
      <w:marLeft w:val="0"/>
      <w:marRight w:val="0"/>
      <w:marTop w:val="0"/>
      <w:marBottom w:val="0"/>
      <w:divBdr>
        <w:top w:val="none" w:sz="0" w:space="0" w:color="auto"/>
        <w:left w:val="none" w:sz="0" w:space="0" w:color="auto"/>
        <w:bottom w:val="none" w:sz="0" w:space="0" w:color="auto"/>
        <w:right w:val="none" w:sz="0" w:space="0" w:color="auto"/>
      </w:divBdr>
    </w:div>
    <w:div w:id="1098522139">
      <w:bodyDiv w:val="1"/>
      <w:marLeft w:val="0"/>
      <w:marRight w:val="0"/>
      <w:marTop w:val="0"/>
      <w:marBottom w:val="0"/>
      <w:divBdr>
        <w:top w:val="none" w:sz="0" w:space="0" w:color="auto"/>
        <w:left w:val="none" w:sz="0" w:space="0" w:color="auto"/>
        <w:bottom w:val="none" w:sz="0" w:space="0" w:color="auto"/>
        <w:right w:val="none" w:sz="0" w:space="0" w:color="auto"/>
      </w:divBdr>
    </w:div>
    <w:div w:id="1209294645">
      <w:bodyDiv w:val="1"/>
      <w:marLeft w:val="0"/>
      <w:marRight w:val="0"/>
      <w:marTop w:val="0"/>
      <w:marBottom w:val="0"/>
      <w:divBdr>
        <w:top w:val="none" w:sz="0" w:space="0" w:color="auto"/>
        <w:left w:val="none" w:sz="0" w:space="0" w:color="auto"/>
        <w:bottom w:val="none" w:sz="0" w:space="0" w:color="auto"/>
        <w:right w:val="none" w:sz="0" w:space="0" w:color="auto"/>
      </w:divBdr>
    </w:div>
    <w:div w:id="1230917061">
      <w:bodyDiv w:val="1"/>
      <w:marLeft w:val="0"/>
      <w:marRight w:val="0"/>
      <w:marTop w:val="0"/>
      <w:marBottom w:val="0"/>
      <w:divBdr>
        <w:top w:val="none" w:sz="0" w:space="0" w:color="auto"/>
        <w:left w:val="none" w:sz="0" w:space="0" w:color="auto"/>
        <w:bottom w:val="none" w:sz="0" w:space="0" w:color="auto"/>
        <w:right w:val="none" w:sz="0" w:space="0" w:color="auto"/>
      </w:divBdr>
    </w:div>
    <w:div w:id="1356732289">
      <w:bodyDiv w:val="1"/>
      <w:marLeft w:val="0"/>
      <w:marRight w:val="0"/>
      <w:marTop w:val="0"/>
      <w:marBottom w:val="0"/>
      <w:divBdr>
        <w:top w:val="none" w:sz="0" w:space="0" w:color="auto"/>
        <w:left w:val="none" w:sz="0" w:space="0" w:color="auto"/>
        <w:bottom w:val="none" w:sz="0" w:space="0" w:color="auto"/>
        <w:right w:val="none" w:sz="0" w:space="0" w:color="auto"/>
      </w:divBdr>
    </w:div>
    <w:div w:id="1416170144">
      <w:bodyDiv w:val="1"/>
      <w:marLeft w:val="0"/>
      <w:marRight w:val="0"/>
      <w:marTop w:val="0"/>
      <w:marBottom w:val="0"/>
      <w:divBdr>
        <w:top w:val="none" w:sz="0" w:space="0" w:color="auto"/>
        <w:left w:val="none" w:sz="0" w:space="0" w:color="auto"/>
        <w:bottom w:val="none" w:sz="0" w:space="0" w:color="auto"/>
        <w:right w:val="none" w:sz="0" w:space="0" w:color="auto"/>
      </w:divBdr>
    </w:div>
    <w:div w:id="1463964175">
      <w:bodyDiv w:val="1"/>
      <w:marLeft w:val="0"/>
      <w:marRight w:val="0"/>
      <w:marTop w:val="0"/>
      <w:marBottom w:val="0"/>
      <w:divBdr>
        <w:top w:val="none" w:sz="0" w:space="0" w:color="auto"/>
        <w:left w:val="none" w:sz="0" w:space="0" w:color="auto"/>
        <w:bottom w:val="none" w:sz="0" w:space="0" w:color="auto"/>
        <w:right w:val="none" w:sz="0" w:space="0" w:color="auto"/>
      </w:divBdr>
    </w:div>
    <w:div w:id="1550730295">
      <w:bodyDiv w:val="1"/>
      <w:marLeft w:val="0"/>
      <w:marRight w:val="0"/>
      <w:marTop w:val="0"/>
      <w:marBottom w:val="0"/>
      <w:divBdr>
        <w:top w:val="none" w:sz="0" w:space="0" w:color="auto"/>
        <w:left w:val="none" w:sz="0" w:space="0" w:color="auto"/>
        <w:bottom w:val="none" w:sz="0" w:space="0" w:color="auto"/>
        <w:right w:val="none" w:sz="0" w:space="0" w:color="auto"/>
      </w:divBdr>
    </w:div>
    <w:div w:id="1613514294">
      <w:bodyDiv w:val="1"/>
      <w:marLeft w:val="0"/>
      <w:marRight w:val="0"/>
      <w:marTop w:val="0"/>
      <w:marBottom w:val="0"/>
      <w:divBdr>
        <w:top w:val="none" w:sz="0" w:space="0" w:color="auto"/>
        <w:left w:val="none" w:sz="0" w:space="0" w:color="auto"/>
        <w:bottom w:val="none" w:sz="0" w:space="0" w:color="auto"/>
        <w:right w:val="none" w:sz="0" w:space="0" w:color="auto"/>
      </w:divBdr>
    </w:div>
    <w:div w:id="1675641504">
      <w:bodyDiv w:val="1"/>
      <w:marLeft w:val="0"/>
      <w:marRight w:val="0"/>
      <w:marTop w:val="0"/>
      <w:marBottom w:val="0"/>
      <w:divBdr>
        <w:top w:val="none" w:sz="0" w:space="0" w:color="auto"/>
        <w:left w:val="none" w:sz="0" w:space="0" w:color="auto"/>
        <w:bottom w:val="none" w:sz="0" w:space="0" w:color="auto"/>
        <w:right w:val="none" w:sz="0" w:space="0" w:color="auto"/>
      </w:divBdr>
    </w:div>
    <w:div w:id="1682899854">
      <w:bodyDiv w:val="1"/>
      <w:marLeft w:val="0"/>
      <w:marRight w:val="0"/>
      <w:marTop w:val="0"/>
      <w:marBottom w:val="0"/>
      <w:divBdr>
        <w:top w:val="none" w:sz="0" w:space="0" w:color="auto"/>
        <w:left w:val="none" w:sz="0" w:space="0" w:color="auto"/>
        <w:bottom w:val="none" w:sz="0" w:space="0" w:color="auto"/>
        <w:right w:val="none" w:sz="0" w:space="0" w:color="auto"/>
      </w:divBdr>
    </w:div>
    <w:div w:id="1734233040">
      <w:bodyDiv w:val="1"/>
      <w:marLeft w:val="0"/>
      <w:marRight w:val="0"/>
      <w:marTop w:val="0"/>
      <w:marBottom w:val="0"/>
      <w:divBdr>
        <w:top w:val="none" w:sz="0" w:space="0" w:color="auto"/>
        <w:left w:val="none" w:sz="0" w:space="0" w:color="auto"/>
        <w:bottom w:val="none" w:sz="0" w:space="0" w:color="auto"/>
        <w:right w:val="none" w:sz="0" w:space="0" w:color="auto"/>
      </w:divBdr>
    </w:div>
    <w:div w:id="1748073697">
      <w:bodyDiv w:val="1"/>
      <w:marLeft w:val="0"/>
      <w:marRight w:val="0"/>
      <w:marTop w:val="0"/>
      <w:marBottom w:val="0"/>
      <w:divBdr>
        <w:top w:val="none" w:sz="0" w:space="0" w:color="auto"/>
        <w:left w:val="none" w:sz="0" w:space="0" w:color="auto"/>
        <w:bottom w:val="none" w:sz="0" w:space="0" w:color="auto"/>
        <w:right w:val="none" w:sz="0" w:space="0" w:color="auto"/>
      </w:divBdr>
    </w:div>
    <w:div w:id="1748570308">
      <w:bodyDiv w:val="1"/>
      <w:marLeft w:val="0"/>
      <w:marRight w:val="0"/>
      <w:marTop w:val="0"/>
      <w:marBottom w:val="0"/>
      <w:divBdr>
        <w:top w:val="none" w:sz="0" w:space="0" w:color="auto"/>
        <w:left w:val="none" w:sz="0" w:space="0" w:color="auto"/>
        <w:bottom w:val="none" w:sz="0" w:space="0" w:color="auto"/>
        <w:right w:val="none" w:sz="0" w:space="0" w:color="auto"/>
      </w:divBdr>
    </w:div>
    <w:div w:id="1823961636">
      <w:bodyDiv w:val="1"/>
      <w:marLeft w:val="0"/>
      <w:marRight w:val="0"/>
      <w:marTop w:val="0"/>
      <w:marBottom w:val="0"/>
      <w:divBdr>
        <w:top w:val="none" w:sz="0" w:space="0" w:color="auto"/>
        <w:left w:val="none" w:sz="0" w:space="0" w:color="auto"/>
        <w:bottom w:val="none" w:sz="0" w:space="0" w:color="auto"/>
        <w:right w:val="none" w:sz="0" w:space="0" w:color="auto"/>
      </w:divBdr>
    </w:div>
    <w:div w:id="1888183165">
      <w:bodyDiv w:val="1"/>
      <w:marLeft w:val="0"/>
      <w:marRight w:val="0"/>
      <w:marTop w:val="0"/>
      <w:marBottom w:val="0"/>
      <w:divBdr>
        <w:top w:val="none" w:sz="0" w:space="0" w:color="auto"/>
        <w:left w:val="none" w:sz="0" w:space="0" w:color="auto"/>
        <w:bottom w:val="none" w:sz="0" w:space="0" w:color="auto"/>
        <w:right w:val="none" w:sz="0" w:space="0" w:color="auto"/>
      </w:divBdr>
    </w:div>
    <w:div w:id="194715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collections/subsidy-control-regime" TargetMode="External"/><Relationship Id="rId3" Type="http://schemas.openxmlformats.org/officeDocument/2006/relationships/customXml" Target="../customXml/item3.xml"/><Relationship Id="rId21" Type="http://schemas.openxmlformats.org/officeDocument/2006/relationships/hyperlink" Target="http://www.cumbriagrowthhub.co.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2006/46/part/15/chapter/12/crossheading/companies-qualifying-as-mediumsized"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www.legislation.gov.uk%2Fukpga%2F2006%2F46%2Fsection%2F384A&amp;data=05%7C01%7CSuzanne%40cumbriachamber.co.uk%7C301f6fd98a6c40b5c23a08dbf4c23682%7C9ac3a962413046798bf1b0b065c927bc%7C0%7C0%7C638372887219280196%7CUnknown%7CTWFpbGZsb3d8eyJWIjoiMC4wLjAwMDAiLCJQIjoiV2luMzIiLCJBTiI6Ik1haWwiLCJXVCI6Mn0%3D%7C3000%7C%7C%7C&amp;sdata=i7ATDIP%2BDJDTJJRIJDUdU0A%2FHVpcsl%2FO%2BpiAZqbInJo%3D&amp;reserved=0" TargetMode="External"/><Relationship Id="rId20" Type="http://schemas.openxmlformats.org/officeDocument/2006/relationships/hyperlink" Target="http://www.cumbriagrowthhub.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02.safelinks.protection.outlook.com/?url=https%3A%2F%2Fwww.legislation.gov.uk%2Fukpga%2F2006%2F46%2Fsection%2F382&amp;data=05%7C01%7CSuzanne%40cumbriachamber.co.uk%7C301f6fd98a6c40b5c23a08dbf4c23682%7C9ac3a962413046798bf1b0b065c927bc%7C0%7C0%7C638372887219280196%7CUnknown%7CTWFpbGZsb3d8eyJWIjoiMC4wLjAwMDAiLCJQIjoiV2luMzIiLCJBTiI6Ik1haWwiLCJXVCI6Mn0%3D%7C3000%7C%7C%7C&amp;sdata=DS7313RROgSR%2BAf5bcVbDALUKBqowevnu2Yl97t31mE%3D&amp;reserved=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umbriagrowthhub.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aula@cumbriachamber.co.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i9492\AppData\Roaming\Microsoft\Templates\8482_GSK%20A4%20Report%20TOC%20v2_ORIGINAL.dotx" TargetMode="External"/></Relationships>
</file>

<file path=word/theme/theme1.xml><?xml version="1.0" encoding="utf-8"?>
<a:theme xmlns:a="http://schemas.openxmlformats.org/drawingml/2006/main" name="Office Theme">
  <a:themeElements>
    <a:clrScheme name="Custom 1">
      <a:dk1>
        <a:srgbClr val="544F40"/>
      </a:dk1>
      <a:lt1>
        <a:srgbClr val="FFFFFF"/>
      </a:lt1>
      <a:dk2>
        <a:srgbClr val="15717D"/>
      </a:dk2>
      <a:lt2>
        <a:srgbClr val="F36633"/>
      </a:lt2>
      <a:accent1>
        <a:srgbClr val="F36633"/>
      </a:accent1>
      <a:accent2>
        <a:srgbClr val="544F40"/>
      </a:accent2>
      <a:accent3>
        <a:srgbClr val="008A00"/>
      </a:accent3>
      <a:accent4>
        <a:srgbClr val="BC1077"/>
      </a:accent4>
      <a:accent5>
        <a:srgbClr val="40488D"/>
      </a:accent5>
      <a:accent6>
        <a:srgbClr val="ED003C"/>
      </a:accent6>
      <a:hlink>
        <a:srgbClr val="F36633"/>
      </a:hlink>
      <a:folHlink>
        <a:srgbClr val="F3663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E9D8E0DD470B04DBF73EACC457B189D" ma:contentTypeVersion="18" ma:contentTypeDescription="Create a new document." ma:contentTypeScope="" ma:versionID="2e629b9609e5aac8ca44d1bb18124a95">
  <xsd:schema xmlns:xsd="http://www.w3.org/2001/XMLSchema" xmlns:xs="http://www.w3.org/2001/XMLSchema" xmlns:p="http://schemas.microsoft.com/office/2006/metadata/properties" xmlns:ns2="1bb3593b-f571-4f37-ba2c-66e4be61113e" xmlns:ns3="ba0d900d-c6cb-46eb-8208-be44d7988c05" targetNamespace="http://schemas.microsoft.com/office/2006/metadata/properties" ma:root="true" ma:fieldsID="f1580116279eec9fdcd53beed87f22f6" ns2:_="" ns3:_="">
    <xsd:import namespace="1bb3593b-f571-4f37-ba2c-66e4be61113e"/>
    <xsd:import namespace="ba0d900d-c6cb-46eb-8208-be44d7988c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593b-f571-4f37-ba2c-66e4be611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394f2d-48c5-4588-a514-e28f5ce2ed3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0d900d-c6cb-46eb-8208-be44d7988c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4e287e-70ed-4377-90fd-792ff1bc2874}" ma:internalName="TaxCatchAll" ma:showField="CatchAllData" ma:web="ba0d900d-c6cb-46eb-8208-be44d7988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a0d900d-c6cb-46eb-8208-be44d7988c05" xsi:nil="true"/>
    <lcf76f155ced4ddcb4097134ff3c332f xmlns="1bb3593b-f571-4f37-ba2c-66e4be6111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AF18A3-D6E4-485C-8013-48D01979EC94}">
  <ds:schemaRefs>
    <ds:schemaRef ds:uri="http://schemas.microsoft.com/sharepoint/v3/contenttype/forms"/>
  </ds:schemaRefs>
</ds:datastoreItem>
</file>

<file path=customXml/itemProps2.xml><?xml version="1.0" encoding="utf-8"?>
<ds:datastoreItem xmlns:ds="http://schemas.openxmlformats.org/officeDocument/2006/customXml" ds:itemID="{F1226DDC-69B4-4B4B-BD5F-D7A326988AE1}">
  <ds:schemaRefs>
    <ds:schemaRef ds:uri="http://schemas.openxmlformats.org/officeDocument/2006/bibliography"/>
  </ds:schemaRefs>
</ds:datastoreItem>
</file>

<file path=customXml/itemProps3.xml><?xml version="1.0" encoding="utf-8"?>
<ds:datastoreItem xmlns:ds="http://schemas.openxmlformats.org/officeDocument/2006/customXml" ds:itemID="{15919C1F-3824-427F-BE87-99D9D56A7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593b-f571-4f37-ba2c-66e4be61113e"/>
    <ds:schemaRef ds:uri="ba0d900d-c6cb-46eb-8208-be44d7988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79F62F-BD6C-4EE4-800D-5FF9D564F0CD}">
  <ds:schemaRefs>
    <ds:schemaRef ds:uri="http://schemas.microsoft.com/office/2006/metadata/properties"/>
    <ds:schemaRef ds:uri="http://schemas.microsoft.com/office/infopath/2007/PartnerControls"/>
    <ds:schemaRef ds:uri="ba0d900d-c6cb-46eb-8208-be44d7988c05"/>
    <ds:schemaRef ds:uri="1bb3593b-f571-4f37-ba2c-66e4be61113e"/>
  </ds:schemaRefs>
</ds:datastoreItem>
</file>

<file path=docProps/app.xml><?xml version="1.0" encoding="utf-8"?>
<Properties xmlns="http://schemas.openxmlformats.org/officeDocument/2006/extended-properties" xmlns:vt="http://schemas.openxmlformats.org/officeDocument/2006/docPropsVTypes">
  <Template>8482_GSK A4 Report TOC v2_ORIGINAL</Template>
  <TotalTime>0</TotalTime>
  <Pages>1</Pages>
  <Words>6657</Words>
  <Characters>37949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NORTH EAST BUSINESS GROWTH FUND</vt:lpstr>
    </vt:vector>
  </TitlesOfParts>
  <Company>HP</Company>
  <LinksUpToDate>false</LinksUpToDate>
  <CharactersWithSpaces>44517</CharactersWithSpaces>
  <SharedDoc>false</SharedDoc>
  <HLinks>
    <vt:vector size="102" baseType="variant">
      <vt:variant>
        <vt:i4>5177382</vt:i4>
      </vt:variant>
      <vt:variant>
        <vt:i4>78</vt:i4>
      </vt:variant>
      <vt:variant>
        <vt:i4>0</vt:i4>
      </vt:variant>
      <vt:variant>
        <vt:i4>5</vt:i4>
      </vt:variant>
      <vt:variant>
        <vt:lpwstr>mailto:paula@cumbriachamber.co.uk</vt:lpwstr>
      </vt:variant>
      <vt:variant>
        <vt:lpwstr/>
      </vt:variant>
      <vt:variant>
        <vt:i4>3473534</vt:i4>
      </vt:variant>
      <vt:variant>
        <vt:i4>75</vt:i4>
      </vt:variant>
      <vt:variant>
        <vt:i4>0</vt:i4>
      </vt:variant>
      <vt:variant>
        <vt:i4>5</vt:i4>
      </vt:variant>
      <vt:variant>
        <vt:lpwstr>http://www.cumbriagrowthhub.co.uk/</vt:lpwstr>
      </vt:variant>
      <vt:variant>
        <vt:lpwstr/>
      </vt:variant>
      <vt:variant>
        <vt:i4>3473534</vt:i4>
      </vt:variant>
      <vt:variant>
        <vt:i4>72</vt:i4>
      </vt:variant>
      <vt:variant>
        <vt:i4>0</vt:i4>
      </vt:variant>
      <vt:variant>
        <vt:i4>5</vt:i4>
      </vt:variant>
      <vt:variant>
        <vt:lpwstr>http://www.cumbriagrowthhub.co.uk/</vt:lpwstr>
      </vt:variant>
      <vt:variant>
        <vt:lpwstr/>
      </vt:variant>
      <vt:variant>
        <vt:i4>3473534</vt:i4>
      </vt:variant>
      <vt:variant>
        <vt:i4>69</vt:i4>
      </vt:variant>
      <vt:variant>
        <vt:i4>0</vt:i4>
      </vt:variant>
      <vt:variant>
        <vt:i4>5</vt:i4>
      </vt:variant>
      <vt:variant>
        <vt:lpwstr>http://www.cumbriagrowthhub.co.uk/</vt:lpwstr>
      </vt:variant>
      <vt:variant>
        <vt:lpwstr/>
      </vt:variant>
      <vt:variant>
        <vt:i4>3473534</vt:i4>
      </vt:variant>
      <vt:variant>
        <vt:i4>66</vt:i4>
      </vt:variant>
      <vt:variant>
        <vt:i4>0</vt:i4>
      </vt:variant>
      <vt:variant>
        <vt:i4>5</vt:i4>
      </vt:variant>
      <vt:variant>
        <vt:lpwstr>http://www.cumbriagrowthhub.co.uk/</vt:lpwstr>
      </vt:variant>
      <vt:variant>
        <vt:lpwstr/>
      </vt:variant>
      <vt:variant>
        <vt:i4>1703958</vt:i4>
      </vt:variant>
      <vt:variant>
        <vt:i4>63</vt:i4>
      </vt:variant>
      <vt:variant>
        <vt:i4>0</vt:i4>
      </vt:variant>
      <vt:variant>
        <vt:i4>5</vt:i4>
      </vt:variant>
      <vt:variant>
        <vt:lpwstr>https://www.gov.uk/government/collections/subsidy-control-regime</vt:lpwstr>
      </vt:variant>
      <vt:variant>
        <vt:lpwstr/>
      </vt:variant>
      <vt:variant>
        <vt:i4>4128865</vt:i4>
      </vt:variant>
      <vt:variant>
        <vt:i4>60</vt:i4>
      </vt:variant>
      <vt:variant>
        <vt:i4>0</vt:i4>
      </vt:variant>
      <vt:variant>
        <vt:i4>5</vt:i4>
      </vt:variant>
      <vt:variant>
        <vt:lpwstr>https://eur02.safelinks.protection.outlook.com/?url=https%3A%2F%2Fwww.legislation.gov.uk%2Fukpga%2F2006%2F46%2Fsection%2F384A&amp;data=05%7C01%7CSuzanne%40cumbriachamber.co.uk%7C301f6fd98a6c40b5c23a08dbf4c23682%7C9ac3a962413046798bf1b0b065c927bc%7C0%7C0%7C638372887219280196%7CUnknown%7CTWFpbGZsb3d8eyJWIjoiMC4wLjAwMDAiLCJQIjoiV2luMzIiLCJBTiI6Ik1haWwiLCJXVCI6Mn0%3D%7C3000%7C%7C%7C&amp;sdata=i7ATDIP%2BDJDTJJRIJDUdU0A%2FHVpcsl%2FO%2BpiAZqbInJo%3D&amp;reserved=0</vt:lpwstr>
      </vt:variant>
      <vt:variant>
        <vt:lpwstr/>
      </vt:variant>
      <vt:variant>
        <vt:i4>2687016</vt:i4>
      </vt:variant>
      <vt:variant>
        <vt:i4>57</vt:i4>
      </vt:variant>
      <vt:variant>
        <vt:i4>0</vt:i4>
      </vt:variant>
      <vt:variant>
        <vt:i4>5</vt:i4>
      </vt:variant>
      <vt:variant>
        <vt:lpwstr>https://eur02.safelinks.protection.outlook.com/?url=https%3A%2F%2Fwww.legislation.gov.uk%2Fukpga%2F2006%2F46%2Fsection%2F382&amp;data=05%7C01%7CSuzanne%40cumbriachamber.co.uk%7C301f6fd98a6c40b5c23a08dbf4c23682%7C9ac3a962413046798bf1b0b065c927bc%7C0%7C0%7C638372887219280196%7CUnknown%7CTWFpbGZsb3d8eyJWIjoiMC4wLjAwMDAiLCJQIjoiV2luMzIiLCJBTiI6Ik1haWwiLCJXVCI6Mn0%3D%7C3000%7C%7C%7C&amp;sdata=DS7313RROgSR%2BAf5bcVbDALUKBqowevnu2Yl97t31mE%3D&amp;reserved=0</vt:lpwstr>
      </vt:variant>
      <vt:variant>
        <vt:lpwstr/>
      </vt:variant>
      <vt:variant>
        <vt:i4>1507387</vt:i4>
      </vt:variant>
      <vt:variant>
        <vt:i4>50</vt:i4>
      </vt:variant>
      <vt:variant>
        <vt:i4>0</vt:i4>
      </vt:variant>
      <vt:variant>
        <vt:i4>5</vt:i4>
      </vt:variant>
      <vt:variant>
        <vt:lpwstr/>
      </vt:variant>
      <vt:variant>
        <vt:lpwstr>_Toc157694470</vt:lpwstr>
      </vt:variant>
      <vt:variant>
        <vt:i4>1441851</vt:i4>
      </vt:variant>
      <vt:variant>
        <vt:i4>44</vt:i4>
      </vt:variant>
      <vt:variant>
        <vt:i4>0</vt:i4>
      </vt:variant>
      <vt:variant>
        <vt:i4>5</vt:i4>
      </vt:variant>
      <vt:variant>
        <vt:lpwstr/>
      </vt:variant>
      <vt:variant>
        <vt:lpwstr>_Toc157694469</vt:lpwstr>
      </vt:variant>
      <vt:variant>
        <vt:i4>1441851</vt:i4>
      </vt:variant>
      <vt:variant>
        <vt:i4>38</vt:i4>
      </vt:variant>
      <vt:variant>
        <vt:i4>0</vt:i4>
      </vt:variant>
      <vt:variant>
        <vt:i4>5</vt:i4>
      </vt:variant>
      <vt:variant>
        <vt:lpwstr/>
      </vt:variant>
      <vt:variant>
        <vt:lpwstr>_Toc157694460</vt:lpwstr>
      </vt:variant>
      <vt:variant>
        <vt:i4>1376315</vt:i4>
      </vt:variant>
      <vt:variant>
        <vt:i4>32</vt:i4>
      </vt:variant>
      <vt:variant>
        <vt:i4>0</vt:i4>
      </vt:variant>
      <vt:variant>
        <vt:i4>5</vt:i4>
      </vt:variant>
      <vt:variant>
        <vt:lpwstr/>
      </vt:variant>
      <vt:variant>
        <vt:lpwstr>_Toc157694450</vt:lpwstr>
      </vt:variant>
      <vt:variant>
        <vt:i4>1310779</vt:i4>
      </vt:variant>
      <vt:variant>
        <vt:i4>26</vt:i4>
      </vt:variant>
      <vt:variant>
        <vt:i4>0</vt:i4>
      </vt:variant>
      <vt:variant>
        <vt:i4>5</vt:i4>
      </vt:variant>
      <vt:variant>
        <vt:lpwstr/>
      </vt:variant>
      <vt:variant>
        <vt:lpwstr>_Toc157694443</vt:lpwstr>
      </vt:variant>
      <vt:variant>
        <vt:i4>1310779</vt:i4>
      </vt:variant>
      <vt:variant>
        <vt:i4>20</vt:i4>
      </vt:variant>
      <vt:variant>
        <vt:i4>0</vt:i4>
      </vt:variant>
      <vt:variant>
        <vt:i4>5</vt:i4>
      </vt:variant>
      <vt:variant>
        <vt:lpwstr/>
      </vt:variant>
      <vt:variant>
        <vt:lpwstr>_Toc157694442</vt:lpwstr>
      </vt:variant>
      <vt:variant>
        <vt:i4>1310779</vt:i4>
      </vt:variant>
      <vt:variant>
        <vt:i4>14</vt:i4>
      </vt:variant>
      <vt:variant>
        <vt:i4>0</vt:i4>
      </vt:variant>
      <vt:variant>
        <vt:i4>5</vt:i4>
      </vt:variant>
      <vt:variant>
        <vt:lpwstr/>
      </vt:variant>
      <vt:variant>
        <vt:lpwstr>_Toc157694441</vt:lpwstr>
      </vt:variant>
      <vt:variant>
        <vt:i4>1179707</vt:i4>
      </vt:variant>
      <vt:variant>
        <vt:i4>8</vt:i4>
      </vt:variant>
      <vt:variant>
        <vt:i4>0</vt:i4>
      </vt:variant>
      <vt:variant>
        <vt:i4>5</vt:i4>
      </vt:variant>
      <vt:variant>
        <vt:lpwstr/>
      </vt:variant>
      <vt:variant>
        <vt:lpwstr>_Toc157694427</vt:lpwstr>
      </vt:variant>
      <vt:variant>
        <vt:i4>1179707</vt:i4>
      </vt:variant>
      <vt:variant>
        <vt:i4>2</vt:i4>
      </vt:variant>
      <vt:variant>
        <vt:i4>0</vt:i4>
      </vt:variant>
      <vt:variant>
        <vt:i4>5</vt:i4>
      </vt:variant>
      <vt:variant>
        <vt:lpwstr/>
      </vt:variant>
      <vt:variant>
        <vt:lpwstr>_Toc157694426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EAST BUSINESS GROWTH FUND</dc:title>
  <dc:subject/>
  <dc:creator>home</dc:creator>
  <cp:keywords/>
  <cp:lastModifiedBy>Paula Martyn Jones</cp:lastModifiedBy>
  <cp:revision>92</cp:revision>
  <cp:lastPrinted>2019-05-24T16:14:00Z</cp:lastPrinted>
  <dcterms:created xsi:type="dcterms:W3CDTF">2024-02-01T20:52:00Z</dcterms:created>
  <dcterms:modified xsi:type="dcterms:W3CDTF">2025-04-09T10:51:00Z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0x0101008E9D8E0DD470B04DBF73EACC457B189D</vt:lpwstr>
  </property>
  <property fmtid="{D5CDD505-2E9C-101B-9397-08002B2CF9AE}" pid="3" name="MediaServiceImageTags">
    <vt:lpwstr/>
  </property>
</Properties>
</file>