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C461" w14:textId="77777777" w:rsidR="00436CCC" w:rsidRDefault="00436CCC" w:rsidP="00436CCC">
      <w:pPr>
        <w:pStyle w:val="paragraph"/>
        <w:spacing w:before="0" w:beforeAutospacing="0" w:after="120" w:afterAutospacing="0"/>
        <w:textAlignment w:val="baseline"/>
        <w:rPr>
          <w:rFonts w:ascii="Verdana" w:hAnsi="Verdana"/>
          <w:sz w:val="20"/>
          <w:szCs w:val="20"/>
        </w:rPr>
      </w:pPr>
      <w:r>
        <w:rPr>
          <w:rStyle w:val="normaltextrun"/>
          <w:rFonts w:ascii="Verdana" w:hAnsi="Verdana"/>
          <w:sz w:val="20"/>
          <w:szCs w:val="20"/>
        </w:rPr>
        <w:t>This programme of support is designed for micro, small and medium sized organisations, that are based in Westmorland and Furness, and that are either commercial or social enterprises.</w:t>
      </w:r>
      <w:r>
        <w:rPr>
          <w:rStyle w:val="eop"/>
          <w:rFonts w:ascii="Verdana" w:hAnsi="Verdana"/>
          <w:sz w:val="20"/>
          <w:szCs w:val="20"/>
        </w:rPr>
        <w:t> </w:t>
      </w:r>
    </w:p>
    <w:p w14:paraId="7792744F" w14:textId="77777777" w:rsidR="00436CCC" w:rsidRDefault="00436CCC" w:rsidP="00436CCC">
      <w:pPr>
        <w:pStyle w:val="paragraph"/>
        <w:spacing w:before="0" w:beforeAutospacing="0" w:after="120" w:afterAutospacing="0"/>
        <w:textAlignment w:val="baseline"/>
        <w:rPr>
          <w:rFonts w:ascii="Verdana" w:hAnsi="Verdana"/>
          <w:sz w:val="20"/>
          <w:szCs w:val="20"/>
        </w:rPr>
      </w:pPr>
      <w:r>
        <w:rPr>
          <w:rStyle w:val="normaltextrun"/>
          <w:rFonts w:ascii="Verdana" w:hAnsi="Verdana"/>
          <w:sz w:val="20"/>
          <w:szCs w:val="20"/>
        </w:rPr>
        <w:t>In detail, this means:</w:t>
      </w:r>
      <w:r>
        <w:rPr>
          <w:rStyle w:val="eop"/>
          <w:rFonts w:ascii="Verdana" w:hAnsi="Verdana"/>
          <w:sz w:val="20"/>
          <w:szCs w:val="20"/>
        </w:rPr>
        <w:t> </w:t>
      </w:r>
    </w:p>
    <w:p w14:paraId="4884E7F2" w14:textId="77777777" w:rsidR="00436CCC" w:rsidRDefault="00436CCC" w:rsidP="00436CCC">
      <w:pPr>
        <w:pStyle w:val="paragraph"/>
        <w:numPr>
          <w:ilvl w:val="0"/>
          <w:numId w:val="1"/>
        </w:numPr>
        <w:tabs>
          <w:tab w:val="num" w:pos="426"/>
        </w:tabs>
        <w:spacing w:before="0" w:beforeAutospacing="0" w:after="120" w:afterAutospacing="0"/>
        <w:ind w:left="426" w:hanging="426"/>
        <w:textAlignment w:val="baseline"/>
        <w:rPr>
          <w:rFonts w:ascii="Verdana" w:hAnsi="Verdana"/>
          <w:sz w:val="20"/>
          <w:szCs w:val="20"/>
        </w:rPr>
      </w:pPr>
      <w:r>
        <w:rPr>
          <w:rStyle w:val="normaltextrun"/>
          <w:rFonts w:ascii="Verdana" w:hAnsi="Verdana"/>
          <w:sz w:val="20"/>
          <w:szCs w:val="20"/>
        </w:rPr>
        <w:t>Location: the organisation must either have their business address in Westmorland and Furness, or must be seeking support in relation to a particular site that they operate in Westmorland and Furness. To receive a capital grant, the site of the investment must be within Westmorland and Furness.</w:t>
      </w:r>
      <w:r>
        <w:rPr>
          <w:rStyle w:val="eop"/>
          <w:rFonts w:ascii="Verdana" w:hAnsi="Verdana"/>
          <w:sz w:val="20"/>
          <w:szCs w:val="20"/>
        </w:rPr>
        <w:t> </w:t>
      </w:r>
    </w:p>
    <w:p w14:paraId="2DC30276" w14:textId="77777777" w:rsidR="00436CCC" w:rsidRDefault="00436CCC" w:rsidP="00436CCC">
      <w:pPr>
        <w:pStyle w:val="paragraph"/>
        <w:numPr>
          <w:ilvl w:val="0"/>
          <w:numId w:val="2"/>
        </w:numPr>
        <w:tabs>
          <w:tab w:val="num" w:pos="426"/>
        </w:tabs>
        <w:spacing w:before="0" w:beforeAutospacing="0" w:after="120" w:afterAutospacing="0"/>
        <w:ind w:left="426" w:hanging="426"/>
        <w:textAlignment w:val="baseline"/>
        <w:rPr>
          <w:rFonts w:ascii="Verdana" w:hAnsi="Verdana"/>
          <w:sz w:val="20"/>
          <w:szCs w:val="20"/>
        </w:rPr>
      </w:pPr>
      <w:r>
        <w:rPr>
          <w:rStyle w:val="normaltextrun"/>
          <w:rFonts w:ascii="Verdana" w:hAnsi="Verdana"/>
          <w:sz w:val="20"/>
          <w:szCs w:val="20"/>
        </w:rPr>
        <w:t xml:space="preserve">Size: small and medium sized businesses (SMEs) are defined by the UK government in terms of number of staff, turnover and balance sheet as set out </w:t>
      </w:r>
      <w:hyperlink r:id="rId5" w:tgtFrame="_blank" w:history="1">
        <w:r>
          <w:rPr>
            <w:rStyle w:val="normaltextrun"/>
            <w:rFonts w:ascii="Verdana" w:hAnsi="Verdana"/>
            <w:color w:val="0563C1"/>
            <w:sz w:val="20"/>
            <w:szCs w:val="20"/>
          </w:rPr>
          <w:t>here</w:t>
        </w:r>
      </w:hyperlink>
      <w:r>
        <w:rPr>
          <w:rStyle w:val="normaltextrun"/>
          <w:rFonts w:ascii="Verdana" w:hAnsi="Verdana"/>
          <w:sz w:val="20"/>
          <w:szCs w:val="20"/>
        </w:rPr>
        <w:t>.</w:t>
      </w:r>
      <w:r>
        <w:rPr>
          <w:rStyle w:val="eop"/>
          <w:rFonts w:ascii="Verdana" w:hAnsi="Verdana"/>
          <w:sz w:val="20"/>
          <w:szCs w:val="20"/>
        </w:rPr>
        <w:t> </w:t>
      </w:r>
    </w:p>
    <w:p w14:paraId="2D4230A6" w14:textId="77777777" w:rsidR="00436CCC" w:rsidRDefault="00436CCC" w:rsidP="00436CCC">
      <w:pPr>
        <w:pStyle w:val="paragraph"/>
        <w:numPr>
          <w:ilvl w:val="0"/>
          <w:numId w:val="3"/>
        </w:numPr>
        <w:tabs>
          <w:tab w:val="num" w:pos="426"/>
        </w:tabs>
        <w:spacing w:before="0" w:beforeAutospacing="0" w:after="60" w:afterAutospacing="0"/>
        <w:ind w:left="425" w:hanging="425"/>
        <w:textAlignment w:val="baseline"/>
        <w:rPr>
          <w:rFonts w:ascii="Verdana" w:hAnsi="Verdana"/>
          <w:sz w:val="20"/>
          <w:szCs w:val="20"/>
        </w:rPr>
      </w:pPr>
      <w:r>
        <w:rPr>
          <w:rStyle w:val="normaltextrun"/>
          <w:rFonts w:ascii="Verdana" w:hAnsi="Verdana"/>
          <w:sz w:val="20"/>
          <w:szCs w:val="20"/>
        </w:rPr>
        <w:t xml:space="preserve">Nature of the organisation: organisations need to be </w:t>
      </w:r>
      <w:r>
        <w:rPr>
          <w:rStyle w:val="normaltextrun"/>
          <w:rFonts w:ascii="Verdana" w:hAnsi="Verdana"/>
          <w:i/>
          <w:iCs/>
          <w:sz w:val="20"/>
          <w:szCs w:val="20"/>
        </w:rPr>
        <w:t>‘enterprises’</w:t>
      </w:r>
      <w:r>
        <w:rPr>
          <w:rStyle w:val="normaltextrun"/>
          <w:rFonts w:ascii="Verdana" w:hAnsi="Verdana"/>
          <w:sz w:val="20"/>
          <w:szCs w:val="20"/>
        </w:rPr>
        <w:t xml:space="preserve"> which are </w:t>
      </w:r>
      <w:r>
        <w:rPr>
          <w:rStyle w:val="normaltextrun"/>
          <w:rFonts w:ascii="Verdana" w:hAnsi="Verdana"/>
          <w:i/>
          <w:iCs/>
          <w:sz w:val="20"/>
          <w:szCs w:val="20"/>
        </w:rPr>
        <w:t>‘engaged in economic activity’</w:t>
      </w:r>
      <w:r>
        <w:rPr>
          <w:rStyle w:val="normaltextrun"/>
          <w:rFonts w:ascii="Verdana" w:hAnsi="Verdana"/>
          <w:sz w:val="20"/>
          <w:szCs w:val="20"/>
        </w:rPr>
        <w:t>, but this can be on a not-for-profit basis. To help define this, we can support businesses that:</w:t>
      </w:r>
      <w:r>
        <w:rPr>
          <w:rStyle w:val="eop"/>
          <w:rFonts w:ascii="Verdana" w:hAnsi="Verdana"/>
          <w:sz w:val="20"/>
          <w:szCs w:val="20"/>
        </w:rPr>
        <w:t> </w:t>
      </w:r>
    </w:p>
    <w:p w14:paraId="5F512A97" w14:textId="77777777" w:rsidR="00436CCC" w:rsidRDefault="00436CCC" w:rsidP="00436CCC">
      <w:pPr>
        <w:pStyle w:val="paragraph"/>
        <w:numPr>
          <w:ilvl w:val="0"/>
          <w:numId w:val="4"/>
        </w:numPr>
        <w:spacing w:before="0" w:beforeAutospacing="0" w:after="60" w:afterAutospacing="0"/>
        <w:ind w:left="709" w:hanging="283"/>
        <w:textAlignment w:val="baseline"/>
        <w:rPr>
          <w:rFonts w:ascii="Verdana" w:hAnsi="Verdana"/>
          <w:sz w:val="20"/>
          <w:szCs w:val="20"/>
        </w:rPr>
      </w:pPr>
      <w:r>
        <w:rPr>
          <w:rStyle w:val="normaltextrun"/>
          <w:rFonts w:ascii="Verdana" w:hAnsi="Verdana"/>
          <w:sz w:val="20"/>
          <w:szCs w:val="20"/>
        </w:rPr>
        <w:t>Provide easily identifiable and saleable goods or services to customers or clients. Saleable goods or services could include those that are provided below market rate, if the organisation is able to do so through the use of other income, donations or volunteer time.</w:t>
      </w:r>
      <w:r>
        <w:rPr>
          <w:rStyle w:val="eop"/>
          <w:rFonts w:ascii="Verdana" w:hAnsi="Verdana"/>
          <w:sz w:val="20"/>
          <w:szCs w:val="20"/>
        </w:rPr>
        <w:t> </w:t>
      </w:r>
    </w:p>
    <w:p w14:paraId="47DBDE56" w14:textId="77777777" w:rsidR="00436CCC" w:rsidRDefault="00436CCC" w:rsidP="00436CCC">
      <w:pPr>
        <w:pStyle w:val="paragraph"/>
        <w:numPr>
          <w:ilvl w:val="0"/>
          <w:numId w:val="4"/>
        </w:numPr>
        <w:spacing w:before="0" w:beforeAutospacing="0" w:after="60" w:afterAutospacing="0"/>
        <w:ind w:left="709" w:hanging="283"/>
        <w:textAlignment w:val="baseline"/>
        <w:rPr>
          <w:rStyle w:val="normaltextrun"/>
        </w:rPr>
      </w:pPr>
      <w:r>
        <w:rPr>
          <w:rStyle w:val="normaltextrun"/>
          <w:rFonts w:ascii="Verdana" w:hAnsi="Verdana"/>
          <w:sz w:val="20"/>
          <w:szCs w:val="20"/>
        </w:rPr>
        <w:t>Have at least one member of staff earning and income from the organisation. The member of staff can be either the business owners or an employee.</w:t>
      </w:r>
      <w:r>
        <w:rPr>
          <w:rStyle w:val="normaltextrun"/>
        </w:rPr>
        <w:t> </w:t>
      </w:r>
    </w:p>
    <w:p w14:paraId="58ED7044" w14:textId="77777777" w:rsidR="00436CCC" w:rsidRDefault="00436CCC" w:rsidP="00436CCC">
      <w:pPr>
        <w:pStyle w:val="paragraph"/>
        <w:numPr>
          <w:ilvl w:val="0"/>
          <w:numId w:val="4"/>
        </w:numPr>
        <w:tabs>
          <w:tab w:val="num" w:pos="66"/>
        </w:tabs>
        <w:spacing w:before="0" w:beforeAutospacing="0" w:after="60" w:afterAutospacing="0"/>
        <w:ind w:left="426" w:firstLine="0"/>
        <w:textAlignment w:val="baseline"/>
        <w:rPr>
          <w:rFonts w:ascii="Verdana" w:hAnsi="Verdana"/>
          <w:sz w:val="20"/>
          <w:szCs w:val="20"/>
        </w:rPr>
      </w:pPr>
      <w:r>
        <w:rPr>
          <w:rStyle w:val="normaltextrun"/>
          <w:rFonts w:ascii="Verdana" w:hAnsi="Verdana"/>
          <w:sz w:val="20"/>
          <w:szCs w:val="20"/>
        </w:rPr>
        <w:t>Have a bank account.</w:t>
      </w:r>
      <w:r>
        <w:rPr>
          <w:rStyle w:val="eop"/>
          <w:rFonts w:ascii="Verdana" w:hAnsi="Verdana"/>
          <w:sz w:val="20"/>
          <w:szCs w:val="20"/>
        </w:rPr>
        <w:t> </w:t>
      </w:r>
    </w:p>
    <w:p w14:paraId="27F8D78B" w14:textId="77777777" w:rsidR="00436CCC" w:rsidRDefault="00436CCC" w:rsidP="00436CCC">
      <w:pPr>
        <w:pStyle w:val="paragraph"/>
        <w:numPr>
          <w:ilvl w:val="0"/>
          <w:numId w:val="4"/>
        </w:numPr>
        <w:tabs>
          <w:tab w:val="num" w:pos="66"/>
        </w:tabs>
        <w:spacing w:before="0" w:beforeAutospacing="0" w:after="40" w:afterAutospacing="0"/>
        <w:ind w:left="426" w:firstLine="0"/>
        <w:textAlignment w:val="baseline"/>
        <w:rPr>
          <w:rFonts w:ascii="Verdana" w:hAnsi="Verdana"/>
          <w:sz w:val="20"/>
          <w:szCs w:val="20"/>
        </w:rPr>
      </w:pPr>
      <w:r>
        <w:rPr>
          <w:rStyle w:val="normaltextrun"/>
          <w:rFonts w:ascii="Verdana" w:hAnsi="Verdana"/>
          <w:sz w:val="20"/>
          <w:szCs w:val="20"/>
        </w:rPr>
        <w:t>Are formally constituted, as one of the following:</w:t>
      </w:r>
      <w:r>
        <w:rPr>
          <w:rStyle w:val="eop"/>
          <w:rFonts w:ascii="Verdana" w:hAnsi="Verdana"/>
          <w:sz w:val="20"/>
          <w:szCs w:val="20"/>
        </w:rPr>
        <w:t> </w:t>
      </w:r>
    </w:p>
    <w:p w14:paraId="1071A61F" w14:textId="77777777" w:rsidR="00436CCC" w:rsidRDefault="00436CCC" w:rsidP="00436CCC">
      <w:pPr>
        <w:pStyle w:val="paragraph"/>
        <w:numPr>
          <w:ilvl w:val="0"/>
          <w:numId w:val="4"/>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Limited companies</w:t>
      </w:r>
      <w:r>
        <w:rPr>
          <w:rStyle w:val="eop"/>
          <w:rFonts w:ascii="Verdana" w:hAnsi="Verdana"/>
          <w:sz w:val="20"/>
          <w:szCs w:val="20"/>
        </w:rPr>
        <w:t> </w:t>
      </w:r>
    </w:p>
    <w:p w14:paraId="72FEB6B2" w14:textId="77777777" w:rsidR="00436CCC" w:rsidRDefault="00436CCC" w:rsidP="00436CCC">
      <w:pPr>
        <w:pStyle w:val="paragraph"/>
        <w:numPr>
          <w:ilvl w:val="0"/>
          <w:numId w:val="4"/>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Business partnerships</w:t>
      </w:r>
      <w:r>
        <w:rPr>
          <w:rStyle w:val="eop"/>
          <w:rFonts w:ascii="Verdana" w:hAnsi="Verdana"/>
          <w:sz w:val="20"/>
          <w:szCs w:val="20"/>
        </w:rPr>
        <w:t> </w:t>
      </w:r>
    </w:p>
    <w:p w14:paraId="30B3B6C9" w14:textId="77777777" w:rsidR="00436CCC" w:rsidRDefault="00436CCC" w:rsidP="00436CCC">
      <w:pPr>
        <w:pStyle w:val="paragraph"/>
        <w:numPr>
          <w:ilvl w:val="0"/>
          <w:numId w:val="4"/>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Sole traders</w:t>
      </w:r>
      <w:r>
        <w:rPr>
          <w:rStyle w:val="eop"/>
          <w:rFonts w:ascii="Verdana" w:hAnsi="Verdana"/>
          <w:sz w:val="20"/>
          <w:szCs w:val="20"/>
        </w:rPr>
        <w:t> </w:t>
      </w:r>
    </w:p>
    <w:p w14:paraId="79781B0D" w14:textId="77777777" w:rsidR="00436CCC" w:rsidRDefault="00436CCC" w:rsidP="00436CCC">
      <w:pPr>
        <w:pStyle w:val="paragraph"/>
        <w:numPr>
          <w:ilvl w:val="0"/>
          <w:numId w:val="4"/>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Charitable companies</w:t>
      </w:r>
      <w:r>
        <w:rPr>
          <w:rStyle w:val="eop"/>
          <w:rFonts w:ascii="Verdana" w:hAnsi="Verdana"/>
          <w:sz w:val="20"/>
          <w:szCs w:val="20"/>
        </w:rPr>
        <w:t> </w:t>
      </w:r>
    </w:p>
    <w:p w14:paraId="0FB2C05B" w14:textId="77777777" w:rsidR="00436CCC" w:rsidRDefault="00436CCC" w:rsidP="00436CCC">
      <w:pPr>
        <w:pStyle w:val="paragraph"/>
        <w:numPr>
          <w:ilvl w:val="0"/>
          <w:numId w:val="4"/>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Charitable incorporated organisations (CIOs)</w:t>
      </w:r>
      <w:r>
        <w:rPr>
          <w:rStyle w:val="eop"/>
          <w:rFonts w:ascii="Verdana" w:hAnsi="Verdana"/>
          <w:sz w:val="20"/>
          <w:szCs w:val="20"/>
        </w:rPr>
        <w:t> </w:t>
      </w:r>
    </w:p>
    <w:p w14:paraId="578A15A2" w14:textId="77777777" w:rsidR="00436CCC" w:rsidRDefault="00436CCC" w:rsidP="00436CCC">
      <w:pPr>
        <w:pStyle w:val="paragraph"/>
        <w:numPr>
          <w:ilvl w:val="0"/>
          <w:numId w:val="4"/>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Charitable trusts</w:t>
      </w:r>
      <w:r>
        <w:rPr>
          <w:rStyle w:val="eop"/>
          <w:rFonts w:ascii="Verdana" w:hAnsi="Verdana"/>
          <w:sz w:val="20"/>
          <w:szCs w:val="20"/>
        </w:rPr>
        <w:t> </w:t>
      </w:r>
    </w:p>
    <w:p w14:paraId="676CD8FE" w14:textId="77777777" w:rsidR="00436CCC" w:rsidRDefault="00436CCC" w:rsidP="00436CCC">
      <w:pPr>
        <w:pStyle w:val="paragraph"/>
        <w:numPr>
          <w:ilvl w:val="0"/>
          <w:numId w:val="5"/>
        </w:numPr>
        <w:tabs>
          <w:tab w:val="num" w:pos="66"/>
        </w:tabs>
        <w:spacing w:before="0" w:beforeAutospacing="0" w:after="40" w:afterAutospacing="0"/>
        <w:ind w:left="993" w:hanging="284"/>
        <w:textAlignment w:val="baseline"/>
        <w:rPr>
          <w:rFonts w:ascii="Verdana" w:hAnsi="Verdana"/>
          <w:sz w:val="20"/>
          <w:szCs w:val="20"/>
        </w:rPr>
      </w:pPr>
      <w:r>
        <w:rPr>
          <w:rStyle w:val="normaltextrun"/>
          <w:rFonts w:ascii="Verdana" w:hAnsi="Verdana"/>
          <w:sz w:val="20"/>
          <w:szCs w:val="20"/>
        </w:rPr>
        <w:t>Co-operatives</w:t>
      </w:r>
      <w:r>
        <w:rPr>
          <w:rStyle w:val="eop"/>
          <w:rFonts w:ascii="Verdana" w:hAnsi="Verdana"/>
          <w:sz w:val="20"/>
          <w:szCs w:val="20"/>
        </w:rPr>
        <w:t> </w:t>
      </w:r>
    </w:p>
    <w:p w14:paraId="55CD6CC0" w14:textId="77777777" w:rsidR="00436CCC" w:rsidRDefault="00436CCC" w:rsidP="00436CCC">
      <w:pPr>
        <w:pStyle w:val="paragraph"/>
        <w:numPr>
          <w:ilvl w:val="0"/>
          <w:numId w:val="5"/>
        </w:numPr>
        <w:tabs>
          <w:tab w:val="num" w:pos="66"/>
        </w:tabs>
        <w:spacing w:before="0" w:beforeAutospacing="0" w:after="60" w:afterAutospacing="0"/>
        <w:ind w:left="993" w:hanging="284"/>
        <w:textAlignment w:val="baseline"/>
        <w:rPr>
          <w:rFonts w:ascii="Verdana" w:hAnsi="Verdana"/>
          <w:sz w:val="20"/>
          <w:szCs w:val="20"/>
        </w:rPr>
      </w:pPr>
      <w:r>
        <w:rPr>
          <w:rStyle w:val="normaltextrun"/>
          <w:rFonts w:ascii="Verdana" w:hAnsi="Verdana"/>
          <w:sz w:val="20"/>
          <w:szCs w:val="20"/>
        </w:rPr>
        <w:t>Community interest companies (CICs).</w:t>
      </w:r>
      <w:r>
        <w:rPr>
          <w:rStyle w:val="eop"/>
          <w:rFonts w:ascii="Verdana" w:hAnsi="Verdana"/>
          <w:sz w:val="20"/>
          <w:szCs w:val="20"/>
        </w:rPr>
        <w:t> </w:t>
      </w:r>
    </w:p>
    <w:p w14:paraId="44D1F1D8" w14:textId="77777777" w:rsidR="00436CCC" w:rsidRDefault="00436CCC" w:rsidP="00436CCC">
      <w:pPr>
        <w:pStyle w:val="paragraph"/>
        <w:spacing w:before="0" w:beforeAutospacing="0" w:after="120" w:afterAutospacing="0"/>
        <w:ind w:left="426"/>
        <w:textAlignment w:val="baseline"/>
        <w:rPr>
          <w:rFonts w:ascii="Verdana" w:hAnsi="Verdana"/>
          <w:sz w:val="20"/>
          <w:szCs w:val="20"/>
        </w:rPr>
      </w:pPr>
      <w:r>
        <w:rPr>
          <w:rStyle w:val="normaltextrun"/>
          <w:rFonts w:ascii="Verdana" w:hAnsi="Verdana"/>
          <w:sz w:val="20"/>
          <w:szCs w:val="20"/>
        </w:rPr>
        <w:t>The exception is in relation to access onto our Purposeful Start-Up course. It is recognised that start-ups, by nature, are just setting out on a process and therefore do not have to meet this particular criterion to access that course. Is it expected however, that they will be aiming to become an enterprise of some sort in the near future.</w:t>
      </w:r>
      <w:r>
        <w:rPr>
          <w:rStyle w:val="eop"/>
          <w:rFonts w:ascii="Verdana" w:hAnsi="Verdana"/>
          <w:sz w:val="20"/>
          <w:szCs w:val="20"/>
        </w:rPr>
        <w:t> </w:t>
      </w:r>
    </w:p>
    <w:p w14:paraId="4537BB1E" w14:textId="77777777" w:rsidR="00436CCC" w:rsidRDefault="00436CCC" w:rsidP="00436CCC">
      <w:pPr>
        <w:pStyle w:val="paragraph"/>
        <w:numPr>
          <w:ilvl w:val="0"/>
          <w:numId w:val="6"/>
        </w:numPr>
        <w:tabs>
          <w:tab w:val="clear" w:pos="360"/>
          <w:tab w:val="num" w:pos="426"/>
        </w:tabs>
        <w:spacing w:before="0" w:beforeAutospacing="0" w:after="120" w:afterAutospacing="0"/>
        <w:ind w:left="426" w:hanging="426"/>
        <w:textAlignment w:val="baseline"/>
        <w:rPr>
          <w:rStyle w:val="normaltextrun"/>
        </w:rPr>
      </w:pPr>
      <w:r>
        <w:rPr>
          <w:rStyle w:val="normaltextrun"/>
          <w:rFonts w:ascii="Verdana" w:hAnsi="Verdana"/>
          <w:sz w:val="20"/>
          <w:szCs w:val="20"/>
        </w:rPr>
        <w:t>Sectors: we can support private and charitable sector organisations in any industry. We cannot support public sector organisations, for example, state schools. </w:t>
      </w:r>
    </w:p>
    <w:p w14:paraId="06124AF7" w14:textId="77777777" w:rsidR="00436CCC" w:rsidRDefault="00436CCC" w:rsidP="00436CCC">
      <w:pPr>
        <w:pStyle w:val="paragraph"/>
        <w:numPr>
          <w:ilvl w:val="0"/>
          <w:numId w:val="6"/>
        </w:numPr>
        <w:tabs>
          <w:tab w:val="clear" w:pos="360"/>
          <w:tab w:val="num" w:pos="426"/>
        </w:tabs>
        <w:spacing w:before="0" w:beforeAutospacing="0" w:after="120" w:afterAutospacing="0"/>
        <w:ind w:left="426" w:hanging="426"/>
        <w:textAlignment w:val="baseline"/>
        <w:rPr>
          <w:rStyle w:val="normaltextrun"/>
          <w:rFonts w:ascii="Verdana" w:hAnsi="Verdana"/>
          <w:sz w:val="20"/>
          <w:szCs w:val="20"/>
        </w:rPr>
      </w:pPr>
      <w:r>
        <w:rPr>
          <w:rStyle w:val="normaltextrun"/>
          <w:rFonts w:ascii="Verdana" w:hAnsi="Verdana"/>
          <w:sz w:val="20"/>
          <w:szCs w:val="20"/>
        </w:rPr>
        <w:t>Specific exclusions do apply: </w:t>
      </w:r>
    </w:p>
    <w:p w14:paraId="06D289C6" w14:textId="77777777" w:rsidR="00436CCC" w:rsidRDefault="00436CCC" w:rsidP="00436CCC">
      <w:pPr>
        <w:pStyle w:val="paragraph"/>
        <w:numPr>
          <w:ilvl w:val="0"/>
          <w:numId w:val="4"/>
        </w:numPr>
        <w:tabs>
          <w:tab w:val="num" w:pos="426"/>
        </w:tabs>
        <w:spacing w:before="0" w:beforeAutospacing="0" w:after="120" w:afterAutospacing="0"/>
        <w:ind w:left="709" w:hanging="283"/>
        <w:textAlignment w:val="baseline"/>
        <w:rPr>
          <w:rStyle w:val="normaltextrun"/>
        </w:rPr>
      </w:pPr>
      <w:r>
        <w:rPr>
          <w:rStyle w:val="normaltextrun"/>
          <w:rFonts w:ascii="Verdana" w:hAnsi="Verdana"/>
          <w:sz w:val="20"/>
          <w:szCs w:val="20"/>
        </w:rPr>
        <w:t>Faith, political or campaign-based organisations are ineligible. The exception here is if the organisation includes an enterprise ‘arm’, which is accessible to customers or clients of any faith or political standpoint. In these circumstances, support can be provided in relation to that enterprise part of the organisation only.</w:t>
      </w:r>
      <w:r>
        <w:rPr>
          <w:rStyle w:val="normaltextrun"/>
        </w:rPr>
        <w:t> </w:t>
      </w:r>
    </w:p>
    <w:p w14:paraId="45883B54" w14:textId="55FC3291" w:rsidR="000F7E0E" w:rsidRDefault="00436CCC" w:rsidP="00436CCC">
      <w:r>
        <w:rPr>
          <w:rStyle w:val="normaltextrun"/>
          <w:rFonts w:ascii="Verdana" w:hAnsi="Verdana"/>
          <w:kern w:val="0"/>
          <w:sz w:val="20"/>
          <w:szCs w:val="20"/>
          <w14:ligatures w14:val="none"/>
        </w:rPr>
        <w:t>Housing providers. Bed and breakfasts and holiday-let businesses are eligible for support, provided that the accommodation is bookable for most of the year, i.e. operating as a business for most of the year. We acknowledge that the accommodation might also be the home of the business owner and that demand for accommodation is seasonal.</w:t>
      </w:r>
    </w:p>
    <w:sectPr w:rsidR="000F7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3361"/>
    <w:multiLevelType w:val="multilevel"/>
    <w:tmpl w:val="BA9EE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D4697"/>
    <w:multiLevelType w:val="multilevel"/>
    <w:tmpl w:val="B9CAF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38411B"/>
    <w:multiLevelType w:val="multilevel"/>
    <w:tmpl w:val="C4D6E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834FA1"/>
    <w:multiLevelType w:val="multilevel"/>
    <w:tmpl w:val="2FC85C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3893D87"/>
    <w:multiLevelType w:val="multilevel"/>
    <w:tmpl w:val="637CE9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AE2D65"/>
    <w:multiLevelType w:val="multilevel"/>
    <w:tmpl w:val="76ECDEDE"/>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845318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237057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08536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40484">
    <w:abstractNumId w:val="2"/>
  </w:num>
  <w:num w:numId="5" w16cid:durableId="510604132">
    <w:abstractNumId w:val="0"/>
  </w:num>
  <w:num w:numId="6" w16cid:durableId="171357734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CC"/>
    <w:rsid w:val="000F7E0E"/>
    <w:rsid w:val="00436CCC"/>
    <w:rsid w:val="0070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551"/>
  <w15:chartTrackingRefBased/>
  <w15:docId w15:val="{CBAD8839-3D6D-4FB7-BBCE-A3076D02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6C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36CCC"/>
  </w:style>
  <w:style w:type="character" w:customStyle="1" w:styleId="eop">
    <w:name w:val="eop"/>
    <w:basedOn w:val="DefaultParagraphFont"/>
    <w:rsid w:val="004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beis-small-and-medium-enterprises-sme-action-plan-2022-to-2025/beis-small-and-medium-enterprises-smes-action-plan-2022-to-2025-accessible-web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4</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Robinson</dc:creator>
  <cp:keywords/>
  <dc:description/>
  <cp:lastModifiedBy>Joe Sanders</cp:lastModifiedBy>
  <cp:revision>2</cp:revision>
  <dcterms:created xsi:type="dcterms:W3CDTF">2023-12-12T16:14:00Z</dcterms:created>
  <dcterms:modified xsi:type="dcterms:W3CDTF">2023-12-12T16:14:00Z</dcterms:modified>
</cp:coreProperties>
</file>